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AABA4" w14:textId="381EDDF6" w:rsidR="00F154A7" w:rsidRPr="00CE0424" w:rsidRDefault="00F154A7" w:rsidP="00F154A7">
      <w:pPr>
        <w:pStyle w:val="3GPPHeader"/>
        <w:spacing w:after="60"/>
        <w:rPr>
          <w:sz w:val="32"/>
          <w:szCs w:val="32"/>
          <w:highlight w:val="yellow"/>
        </w:rPr>
      </w:pPr>
      <w:r w:rsidRPr="00CE0424">
        <w:t>3GPP TSG-RAN WG</w:t>
      </w:r>
      <w:r>
        <w:t>2</w:t>
      </w:r>
      <w:r w:rsidR="00D30CE4">
        <w:t xml:space="preserve"> NR#2</w:t>
      </w:r>
      <w:r w:rsidRPr="00CE0424">
        <w:tab/>
      </w:r>
      <w:r w:rsidRPr="00CE0424">
        <w:rPr>
          <w:sz w:val="32"/>
          <w:szCs w:val="32"/>
        </w:rPr>
        <w:t>Tdoc R2-1</w:t>
      </w:r>
      <w:r>
        <w:rPr>
          <w:sz w:val="32"/>
          <w:szCs w:val="32"/>
        </w:rPr>
        <w:t>7</w:t>
      </w:r>
      <w:r w:rsidR="000B52A1">
        <w:rPr>
          <w:sz w:val="32"/>
          <w:szCs w:val="32"/>
        </w:rPr>
        <w:t>06572</w:t>
      </w:r>
    </w:p>
    <w:p w14:paraId="53D785E6" w14:textId="33D92F5D" w:rsidR="00F154A7" w:rsidRPr="00CE0424" w:rsidRDefault="00D30CE4" w:rsidP="00F154A7">
      <w:pPr>
        <w:pStyle w:val="3GPPHeader"/>
      </w:pPr>
      <w:r>
        <w:t>Qingdao</w:t>
      </w:r>
      <w:r w:rsidR="009808EE">
        <w:t xml:space="preserve">, </w:t>
      </w:r>
      <w:r>
        <w:t>China, 27</w:t>
      </w:r>
      <w:r w:rsidR="00E458E8" w:rsidRPr="00C544E1">
        <w:rPr>
          <w:vertAlign w:val="superscript"/>
        </w:rPr>
        <w:t>th</w:t>
      </w:r>
      <w:r>
        <w:t xml:space="preserve"> – 2</w:t>
      </w:r>
      <w:r w:rsidR="00E458E8">
        <w:t>9</w:t>
      </w:r>
      <w:r w:rsidR="00E458E8" w:rsidRPr="00AE3743">
        <w:rPr>
          <w:vertAlign w:val="superscript"/>
        </w:rPr>
        <w:t>th</w:t>
      </w:r>
      <w:r>
        <w:t xml:space="preserve"> June</w:t>
      </w:r>
      <w:r w:rsidR="00E458E8">
        <w:t xml:space="preserve"> 2017</w:t>
      </w:r>
      <w:r w:rsidR="00F74557">
        <w:tab/>
        <w:t>(revision of R2-170</w:t>
      </w:r>
      <w:r>
        <w:t>4415</w:t>
      </w:r>
      <w:r w:rsidR="00F74557">
        <w:t>)</w:t>
      </w:r>
    </w:p>
    <w:p w14:paraId="436B50D4" w14:textId="77777777" w:rsidR="00E90E49" w:rsidRPr="000C3323" w:rsidRDefault="00E90E49" w:rsidP="00357380">
      <w:pPr>
        <w:pStyle w:val="3GPPHeader"/>
      </w:pPr>
    </w:p>
    <w:p w14:paraId="0708A3D8" w14:textId="1CC24BE4" w:rsidR="00E90E49" w:rsidRPr="000C3323" w:rsidRDefault="00E90E49" w:rsidP="00311702">
      <w:pPr>
        <w:pStyle w:val="3GPPHeader"/>
        <w:rPr>
          <w:sz w:val="22"/>
          <w:szCs w:val="22"/>
          <w:lang w:val="en-US"/>
        </w:rPr>
      </w:pPr>
      <w:r w:rsidRPr="000C3323">
        <w:rPr>
          <w:sz w:val="22"/>
          <w:szCs w:val="22"/>
          <w:lang w:val="en-US"/>
        </w:rPr>
        <w:t>Agenda Item:</w:t>
      </w:r>
      <w:r w:rsidRPr="000C3323">
        <w:rPr>
          <w:sz w:val="22"/>
          <w:szCs w:val="22"/>
          <w:lang w:val="en-US"/>
        </w:rPr>
        <w:tab/>
      </w:r>
      <w:r w:rsidR="00E615F0">
        <w:rPr>
          <w:sz w:val="22"/>
          <w:szCs w:val="22"/>
          <w:lang w:val="en-US"/>
        </w:rPr>
        <w:t>10.2.2</w:t>
      </w:r>
      <w:r w:rsidR="00D30CE4">
        <w:rPr>
          <w:sz w:val="22"/>
          <w:szCs w:val="22"/>
          <w:lang w:val="en-US"/>
        </w:rPr>
        <w:t>.2</w:t>
      </w:r>
    </w:p>
    <w:p w14:paraId="71824C3D" w14:textId="77777777" w:rsidR="00E90E49" w:rsidRPr="000C3323" w:rsidRDefault="003D3C45" w:rsidP="00F64C2B">
      <w:pPr>
        <w:pStyle w:val="3GPPHeader"/>
        <w:rPr>
          <w:sz w:val="22"/>
          <w:szCs w:val="22"/>
        </w:rPr>
      </w:pPr>
      <w:r w:rsidRPr="000C3323">
        <w:rPr>
          <w:sz w:val="22"/>
          <w:szCs w:val="22"/>
        </w:rPr>
        <w:t>Source:</w:t>
      </w:r>
      <w:r w:rsidR="00E90E49" w:rsidRPr="000C3323">
        <w:rPr>
          <w:sz w:val="22"/>
          <w:szCs w:val="22"/>
        </w:rPr>
        <w:tab/>
      </w:r>
      <w:r w:rsidR="00F64C2B" w:rsidRPr="000C3323">
        <w:rPr>
          <w:sz w:val="22"/>
          <w:szCs w:val="22"/>
        </w:rPr>
        <w:t>Ericsson</w:t>
      </w:r>
      <w:bookmarkStart w:id="0" w:name="_GoBack"/>
      <w:bookmarkEnd w:id="0"/>
    </w:p>
    <w:p w14:paraId="2EB3B7E6" w14:textId="58DBBE14" w:rsidR="00E90E49" w:rsidRPr="000C3323" w:rsidRDefault="003D3C45" w:rsidP="00311702">
      <w:pPr>
        <w:pStyle w:val="3GPPHeader"/>
        <w:rPr>
          <w:sz w:val="22"/>
          <w:szCs w:val="22"/>
        </w:rPr>
      </w:pPr>
      <w:r w:rsidRPr="000C3323">
        <w:rPr>
          <w:sz w:val="22"/>
          <w:szCs w:val="22"/>
        </w:rPr>
        <w:t>Title:</w:t>
      </w:r>
      <w:r w:rsidR="00E90E49" w:rsidRPr="000C3323">
        <w:rPr>
          <w:sz w:val="22"/>
          <w:szCs w:val="22"/>
        </w:rPr>
        <w:tab/>
      </w:r>
      <w:r w:rsidR="00802E21" w:rsidRPr="000C3323">
        <w:rPr>
          <w:sz w:val="22"/>
          <w:szCs w:val="22"/>
        </w:rPr>
        <w:t xml:space="preserve">Bearer type switching in </w:t>
      </w:r>
      <w:r w:rsidR="00223577" w:rsidRPr="000C3323">
        <w:rPr>
          <w:sz w:val="22"/>
          <w:szCs w:val="22"/>
        </w:rPr>
        <w:t>dual connectivity</w:t>
      </w:r>
    </w:p>
    <w:p w14:paraId="3FA2B039" w14:textId="77777777" w:rsidR="00E90E49" w:rsidRPr="00CE0424" w:rsidRDefault="00E90E49" w:rsidP="007146AF">
      <w:pPr>
        <w:pStyle w:val="3GPPHeader"/>
      </w:pPr>
      <w:r w:rsidRPr="000C3323">
        <w:rPr>
          <w:sz w:val="22"/>
          <w:szCs w:val="22"/>
        </w:rPr>
        <w:t>Document for:</w:t>
      </w:r>
      <w:r w:rsidRPr="000C3323">
        <w:rPr>
          <w:sz w:val="22"/>
          <w:szCs w:val="22"/>
        </w:rPr>
        <w:tab/>
        <w:t>Discussion, Decision</w:t>
      </w:r>
    </w:p>
    <w:p w14:paraId="5FA2BA8E" w14:textId="77777777" w:rsidR="00E77DE7" w:rsidRDefault="00E77DE7" w:rsidP="000D78FD">
      <w:pPr>
        <w:pStyle w:val="BodyText"/>
      </w:pPr>
    </w:p>
    <w:p w14:paraId="63E4261B" w14:textId="2C2A3D90" w:rsidR="00E77DE7" w:rsidRDefault="00377F41" w:rsidP="00E77DE7">
      <w:pPr>
        <w:pStyle w:val="Heading1"/>
      </w:pPr>
      <w:r>
        <w:t>Introduction</w:t>
      </w:r>
    </w:p>
    <w:p w14:paraId="699CDE8F" w14:textId="396AA055" w:rsidR="00064BEA" w:rsidRDefault="00064BEA" w:rsidP="00F50128">
      <w:pPr>
        <w:pStyle w:val="BodyText"/>
      </w:pPr>
      <w:r>
        <w:t>At RAN2#98 meeting in Hangzhou, bearer type harmonization was discussed</w:t>
      </w:r>
      <w:r w:rsidR="008E1DE5">
        <w:t xml:space="preserve">. </w:t>
      </w:r>
      <w:r w:rsidR="001A0736">
        <w:t>Most</w:t>
      </w:r>
      <w:r w:rsidR="008E1DE5">
        <w:t xml:space="preserve"> companies supported harmonization of split bearers</w:t>
      </w:r>
      <w:r w:rsidR="00F411CE">
        <w:t xml:space="preserve">, by using NR PDCP. Still, agreement was not possible in the meeting, since some companies wanted to check back office. Target was set to reach agreement in AH meeting in Qingdao. </w:t>
      </w:r>
    </w:p>
    <w:p w14:paraId="68C84191" w14:textId="15BB8207" w:rsidR="00F411CE" w:rsidRDefault="00F411CE" w:rsidP="00F50128">
      <w:pPr>
        <w:pStyle w:val="BodyText"/>
      </w:pPr>
      <w:r>
        <w:t>In this contribution, we discuss bearer type switching with assuming harmonized split bearer.</w:t>
      </w:r>
    </w:p>
    <w:p w14:paraId="484E3C1F" w14:textId="373AF7E1" w:rsidR="00E615F0" w:rsidRPr="00E615F0" w:rsidRDefault="004000E8" w:rsidP="00E615F0">
      <w:pPr>
        <w:pStyle w:val="Heading1"/>
      </w:pPr>
      <w:bookmarkStart w:id="1" w:name="_Ref178064866"/>
      <w:r w:rsidRPr="00CE0424">
        <w:t>Discussion</w:t>
      </w:r>
      <w:bookmarkEnd w:id="1"/>
    </w:p>
    <w:p w14:paraId="69E6DC52" w14:textId="235D9629" w:rsidR="00882661" w:rsidRDefault="00882661" w:rsidP="00882661">
      <w:r>
        <w:t>The bearer type switches are realized in RRC using MAC, RLC, and PDCP procedures. Generally, three different ways of bearer type change exist:</w:t>
      </w:r>
    </w:p>
    <w:p w14:paraId="589F32FE" w14:textId="7747D451" w:rsidR="00882661" w:rsidRDefault="00882661" w:rsidP="00882661">
      <w:pPr>
        <w:pStyle w:val="ListParagraph"/>
        <w:numPr>
          <w:ilvl w:val="0"/>
          <w:numId w:val="18"/>
        </w:numPr>
      </w:pPr>
      <w:r w:rsidRPr="001A6939">
        <w:rPr>
          <w:b/>
        </w:rPr>
        <w:t>Bearer type change together with handover</w:t>
      </w:r>
      <w:r>
        <w:t xml:space="preserve"> (R</w:t>
      </w:r>
      <w:r w:rsidR="001A6D04">
        <w:t>RC</w:t>
      </w:r>
      <w:r>
        <w:t>ConnectionReconfiguration including mobilityControlInfo (MCG)</w:t>
      </w:r>
      <w:r w:rsidR="001A6D04">
        <w:t>)</w:t>
      </w:r>
      <w:r>
        <w:t xml:space="preserve">. With this procedure, before the respective bearer type change, both MCG and SCG MAC entities are reset and RLC as well as PDCP entities of all bearers are re-established. This procedure can be considered heavy, since it affects all configured bearers, i.e. ongoing MAC and RLC transmissions are interrupted and PDCP </w:t>
      </w:r>
      <w:r w:rsidR="001A6D04">
        <w:t xml:space="preserve">recovery </w:t>
      </w:r>
      <w:r>
        <w:t xml:space="preserve">must be </w:t>
      </w:r>
      <w:r w:rsidR="001A6D04">
        <w:t>performed</w:t>
      </w:r>
      <w:r>
        <w:t>. The advantage</w:t>
      </w:r>
      <w:r w:rsidR="001A6D04">
        <w:t>, on the other hand,</w:t>
      </w:r>
      <w:r>
        <w:t xml:space="preserve"> is that in principle all types of bearer type changes can be </w:t>
      </w:r>
      <w:r w:rsidR="001A6D04">
        <w:t xml:space="preserve">performed via </w:t>
      </w:r>
      <w:r>
        <w:t>this procedure. Also security keys can be changed (during PDCP re</w:t>
      </w:r>
      <w:r w:rsidR="001A6D04">
        <w:t>-</w:t>
      </w:r>
      <w:r>
        <w:t xml:space="preserve">establishment). This way, bearer type changes between PDCP (security) termination points are </w:t>
      </w:r>
      <w:r w:rsidR="001A6D04">
        <w:t xml:space="preserve">also </w:t>
      </w:r>
      <w:r>
        <w:t>supported.</w:t>
      </w:r>
    </w:p>
    <w:p w14:paraId="331CA25A" w14:textId="77777777" w:rsidR="001A6D04" w:rsidRDefault="001A6D04" w:rsidP="001A0736">
      <w:pPr>
        <w:pStyle w:val="ListParagraph"/>
      </w:pPr>
    </w:p>
    <w:p w14:paraId="6E74281E" w14:textId="05F00130" w:rsidR="00882661" w:rsidRPr="001A0736" w:rsidRDefault="00882661" w:rsidP="00882661">
      <w:pPr>
        <w:pStyle w:val="ListParagraph"/>
        <w:numPr>
          <w:ilvl w:val="0"/>
          <w:numId w:val="18"/>
        </w:numPr>
        <w:rPr>
          <w:b/>
        </w:rPr>
      </w:pPr>
      <w:r w:rsidRPr="001A6939">
        <w:rPr>
          <w:b/>
        </w:rPr>
        <w:t xml:space="preserve">Bearer type change together with SCG </w:t>
      </w:r>
      <w:r>
        <w:rPr>
          <w:b/>
        </w:rPr>
        <w:t>release/</w:t>
      </w:r>
      <w:r w:rsidRPr="001A6939">
        <w:rPr>
          <w:b/>
        </w:rPr>
        <w:t>change</w:t>
      </w:r>
      <w:r>
        <w:rPr>
          <w:b/>
        </w:rPr>
        <w:t xml:space="preserve"> </w:t>
      </w:r>
      <w:r>
        <w:t>(but no handover, i.e. R</w:t>
      </w:r>
      <w:r w:rsidR="007C02E2">
        <w:t>RC</w:t>
      </w:r>
      <w:r>
        <w:t>ConnectionReconfiguration including mobilityControlInfoSCG). In this procedure, the SCG is changed (or released)</w:t>
      </w:r>
      <w:r w:rsidR="0039779E">
        <w:t>, and the bearer type reconfiguration is synchronized with that</w:t>
      </w:r>
      <w:r>
        <w:t>. It includes SCG MAC reset and re</w:t>
      </w:r>
      <w:r w:rsidR="001A6D04">
        <w:t>-</w:t>
      </w:r>
      <w:r>
        <w:t>establishment of all SCG RLC entities (of SCG or split bearers). As currently specified for LTE, PDCP is re-established for SCG bearers or when MCG bearers are switched to SCG bearers. For the MCG split bearer, PDCP data recovery procedure is used, as transmissions can continue during SCG change via the MCG, and a full PDCP reestablishment is not therefore required.</w:t>
      </w:r>
    </w:p>
    <w:p w14:paraId="56EAC69E" w14:textId="77777777" w:rsidR="001A6D04" w:rsidRPr="0071506D" w:rsidRDefault="001A6D04" w:rsidP="001A0736">
      <w:pPr>
        <w:pStyle w:val="ListParagraph"/>
        <w:rPr>
          <w:b/>
        </w:rPr>
      </w:pPr>
    </w:p>
    <w:p w14:paraId="7933EBAD" w14:textId="3E6EB8C7" w:rsidR="00882661" w:rsidRPr="0039779E" w:rsidRDefault="00882661" w:rsidP="00882661">
      <w:pPr>
        <w:pStyle w:val="ListParagraph"/>
        <w:numPr>
          <w:ilvl w:val="0"/>
          <w:numId w:val="18"/>
        </w:numPr>
        <w:rPr>
          <w:b/>
        </w:rPr>
      </w:pPr>
      <w:r>
        <w:rPr>
          <w:b/>
        </w:rPr>
        <w:lastRenderedPageBreak/>
        <w:t xml:space="preserve">Bearer type change without handover nor SCG release/change. </w:t>
      </w:r>
      <w:r>
        <w:t xml:space="preserve">Some bearer type reconfigurations could be supported also without the synchronized reconfiguration procedures above. In these </w:t>
      </w:r>
      <w:r w:rsidR="0039779E">
        <w:t>cases,</w:t>
      </w:r>
      <w:r>
        <w:t xml:space="preserve"> neither MAC is reset, nor RLC or PDCP is re-established. </w:t>
      </w:r>
      <w:r w:rsidRPr="000C3323">
        <w:t>Bearer type reconfiguration from MCG split bearer to MCG bearer could be supported by this</w:t>
      </w:r>
      <w:r w:rsidRPr="0039779E">
        <w:t xml:space="preserve"> even though in LTE</w:t>
      </w:r>
      <w:r w:rsidRPr="00DA44DB">
        <w:t>, SCG change had been used for this</w:t>
      </w:r>
      <w:r w:rsidR="007C02E2">
        <w:t xml:space="preserve"> due to simplicity</w:t>
      </w:r>
      <w:r w:rsidRPr="00DA44DB">
        <w:t>.</w:t>
      </w:r>
    </w:p>
    <w:p w14:paraId="5FF3F7C3" w14:textId="64AF7C9C" w:rsidR="00882661" w:rsidRDefault="00DA44DB" w:rsidP="00A570CD">
      <w:r>
        <w:t>Building on the existing procedure in LTE DC for bearer type switches, we analyse in the following which further changes should be cons</w:t>
      </w:r>
      <w:r w:rsidR="00D95744">
        <w:t>idered in NR and especially LTE-</w:t>
      </w:r>
      <w:r>
        <w:t>NR DC, and how these could be realized.</w:t>
      </w:r>
    </w:p>
    <w:p w14:paraId="6D6F6BF3" w14:textId="017AA2DB" w:rsidR="00882661" w:rsidRDefault="00882661" w:rsidP="00A570CD">
      <w:r>
        <w:t>For the bearer type change</w:t>
      </w:r>
      <w:r w:rsidR="008F7C20">
        <w:t>s</w:t>
      </w:r>
      <w:r>
        <w:t xml:space="preserve"> with parts of the bearer remaining associated to one cell group, </w:t>
      </w:r>
      <w:r w:rsidR="00D95744">
        <w:t>and where</w:t>
      </w:r>
      <w:r>
        <w:t xml:space="preserve"> the PDCP termination point does not change, i.e. for MCG to MCG split bearer</w:t>
      </w:r>
      <w:r w:rsidR="00DA44DB">
        <w:t xml:space="preserve">, or SCG to SCG split bearer, PDCP reestablishment is not needed, as </w:t>
      </w:r>
      <w:r w:rsidR="00E9171D">
        <w:t>not all lower layers must be flushed.</w:t>
      </w:r>
      <w:r w:rsidR="00DA44DB">
        <w:t xml:space="preserve"> </w:t>
      </w:r>
      <w:r w:rsidR="009F4C36">
        <w:t>If for changes e.g. from split bearer to non-split bearer within one cell group, data from the other (not used</w:t>
      </w:r>
      <w:r w:rsidR="00032E75">
        <w:t xml:space="preserve"> anymore</w:t>
      </w:r>
      <w:r w:rsidR="009F4C36">
        <w:t xml:space="preserve">) cell group is lost on MAC and RLC, it can be retransmitted </w:t>
      </w:r>
      <w:r w:rsidR="00032E75">
        <w:t>by PDCP for example based on PDCP data recovery</w:t>
      </w:r>
      <w:r w:rsidR="009F4C36">
        <w:t>.</w:t>
      </w:r>
      <w:r w:rsidR="00032E75">
        <w:t xml:space="preserve"> </w:t>
      </w:r>
      <w:r w:rsidR="007E24AB">
        <w:t>A synchronized reconfiguration together with handover or SCG change is thereby not required.</w:t>
      </w:r>
    </w:p>
    <w:p w14:paraId="5A4DE68F" w14:textId="52926053" w:rsidR="009F4C36" w:rsidRPr="00CE0424" w:rsidRDefault="009F4C36" w:rsidP="009F4C36">
      <w:pPr>
        <w:pStyle w:val="Proposal"/>
      </w:pPr>
      <w:bookmarkStart w:id="2" w:name="_Toc473928839"/>
      <w:bookmarkStart w:id="3" w:name="_Toc478159535"/>
      <w:bookmarkStart w:id="4" w:name="_Toc478159819"/>
      <w:bookmarkStart w:id="5" w:name="_Toc481581152"/>
      <w:bookmarkStart w:id="6" w:name="_Toc481584807"/>
      <w:bookmarkStart w:id="7" w:name="_Toc481790491"/>
      <w:bookmarkStart w:id="8" w:name="_Toc481796943"/>
      <w:bookmarkStart w:id="9" w:name="_Toc484595311"/>
      <w:bookmarkStart w:id="10" w:name="_Toc485161079"/>
      <w:bookmarkStart w:id="11" w:name="_Toc473902443"/>
      <w:bookmarkStart w:id="12" w:name="_Toc485421135"/>
      <w:r>
        <w:t>Switch</w:t>
      </w:r>
      <w:r w:rsidR="00032E75">
        <w:t>es</w:t>
      </w:r>
      <w:r>
        <w:t xml:space="preserve"> between non-split bearer and split bearer </w:t>
      </w:r>
      <w:r w:rsidR="00B11266">
        <w:t>within the same cell group</w:t>
      </w:r>
      <w:r w:rsidR="00D01987">
        <w:t xml:space="preserve"> </w:t>
      </w:r>
      <w:r w:rsidR="00350AC2">
        <w:t>with</w:t>
      </w:r>
      <w:r w:rsidR="00032E75">
        <w:t xml:space="preserve"> potential data loss on MAC and </w:t>
      </w:r>
      <w:r w:rsidR="00543655">
        <w:t>RLC</w:t>
      </w:r>
      <w:r w:rsidR="00032E75">
        <w:t xml:space="preserve"> can be handled by PDCP retransmissions, e.g. </w:t>
      </w:r>
      <w:r w:rsidR="0070702B">
        <w:t>with</w:t>
      </w:r>
      <w:r w:rsidR="00032E75">
        <w:t xml:space="preserve"> the PDCP data recovery procedure.</w:t>
      </w:r>
      <w:bookmarkEnd w:id="2"/>
      <w:bookmarkEnd w:id="3"/>
      <w:bookmarkEnd w:id="4"/>
      <w:bookmarkEnd w:id="5"/>
      <w:bookmarkEnd w:id="6"/>
      <w:bookmarkEnd w:id="7"/>
      <w:bookmarkEnd w:id="8"/>
      <w:bookmarkEnd w:id="9"/>
      <w:bookmarkEnd w:id="10"/>
      <w:bookmarkEnd w:id="12"/>
      <w:r w:rsidR="00032E75">
        <w:t xml:space="preserve"> </w:t>
      </w:r>
      <w:bookmarkEnd w:id="11"/>
    </w:p>
    <w:p w14:paraId="1BBE1A49" w14:textId="09E0B4E8" w:rsidR="00723A79" w:rsidRDefault="00D01987" w:rsidP="00A570CD">
      <w:r>
        <w:t>B</w:t>
      </w:r>
      <w:r w:rsidR="008F7C20">
        <w:t>earer type changes across cell groups, i.e. MCG or MCG split bearer to SCG or SCG split bearer</w:t>
      </w:r>
      <w:r w:rsidR="00BF7369">
        <w:t xml:space="preserve"> (or vice versa), </w:t>
      </w:r>
      <w:r>
        <w:t xml:space="preserve">meant in LTE-DC also that </w:t>
      </w:r>
      <w:r w:rsidR="00BF7369">
        <w:t xml:space="preserve">the </w:t>
      </w:r>
      <w:r w:rsidR="00723A79">
        <w:t xml:space="preserve">network side </w:t>
      </w:r>
      <w:r w:rsidR="00BF7369">
        <w:t>PDCP termination point change</w:t>
      </w:r>
      <w:r>
        <w:t>d</w:t>
      </w:r>
      <w:r w:rsidR="00BF7369">
        <w:t xml:space="preserve">. </w:t>
      </w:r>
      <w:r>
        <w:t xml:space="preserve">For LTE-NR DC, </w:t>
      </w:r>
      <w:r w:rsidR="00723A79">
        <w:t xml:space="preserve">as explained and proposed in </w:t>
      </w:r>
      <w:r w:rsidR="00723A79">
        <w:fldChar w:fldCharType="begin"/>
      </w:r>
      <w:r w:rsidR="00723A79">
        <w:instrText xml:space="preserve"> REF _Ref481566365 \r \h </w:instrText>
      </w:r>
      <w:r w:rsidR="00723A79">
        <w:fldChar w:fldCharType="separate"/>
      </w:r>
      <w:r w:rsidR="00F032C2">
        <w:t>[1]</w:t>
      </w:r>
      <w:r w:rsidR="00723A79">
        <w:fldChar w:fldCharType="end"/>
      </w:r>
      <w:r w:rsidR="00723A79">
        <w:t xml:space="preserve">, </w:t>
      </w:r>
      <w:r w:rsidR="00ED5AFA">
        <w:t xml:space="preserve">with harmonized split bearer, </w:t>
      </w:r>
      <w:r w:rsidR="00723A79">
        <w:t xml:space="preserve">the network termination point </w:t>
      </w:r>
      <w:r w:rsidR="00ED5AFA">
        <w:t>is</w:t>
      </w:r>
      <w:r w:rsidR="00723A79">
        <w:t xml:space="preserve"> separated from the bearer type.</w:t>
      </w:r>
      <w:r w:rsidR="00ED5AFA">
        <w:t xml:space="preserve"> The PDCP layer of the split bearer can be terminated on the network side </w:t>
      </w:r>
      <w:r w:rsidR="00723A79">
        <w:t>in MN, SN or</w:t>
      </w:r>
      <w:r w:rsidR="00E46282">
        <w:t xml:space="preserve"> a</w:t>
      </w:r>
      <w:r w:rsidR="00723A79">
        <w:t xml:space="preserve"> central unit. F</w:t>
      </w:r>
      <w:r w:rsidR="00E46282">
        <w:t>or</w:t>
      </w:r>
      <w:r w:rsidR="00723A79">
        <w:t xml:space="preserve"> bearer type changes, it would mean that a PDCP re-establishment is needed </w:t>
      </w:r>
      <w:r w:rsidR="00ED5AFA">
        <w:t xml:space="preserve">only </w:t>
      </w:r>
      <w:r w:rsidR="00723A79">
        <w:t>when the network side PDCP termination point is changed.</w:t>
      </w:r>
    </w:p>
    <w:p w14:paraId="0F907480" w14:textId="3F6AE1F8" w:rsidR="00723A79" w:rsidRDefault="00723A79" w:rsidP="00723A79">
      <w:pPr>
        <w:pStyle w:val="Proposal"/>
      </w:pPr>
      <w:bookmarkStart w:id="13" w:name="_Toc473902444"/>
      <w:bookmarkStart w:id="14" w:name="_Toc473928840"/>
      <w:bookmarkStart w:id="15" w:name="_Toc478159536"/>
      <w:bookmarkStart w:id="16" w:name="_Toc478159820"/>
      <w:bookmarkStart w:id="17" w:name="_Toc481581153"/>
      <w:bookmarkStart w:id="18" w:name="_Toc481584808"/>
      <w:bookmarkStart w:id="19" w:name="_Toc481790492"/>
      <w:bookmarkStart w:id="20" w:name="_Toc481796944"/>
      <w:bookmarkStart w:id="21" w:name="_Toc484595312"/>
      <w:bookmarkStart w:id="22" w:name="_Toc485161080"/>
      <w:bookmarkStart w:id="23" w:name="_Toc485421136"/>
      <w:r>
        <w:t>Bearer type switches with change of PDCP termination point, include PDCP reestablishment procedure.</w:t>
      </w:r>
      <w:bookmarkEnd w:id="13"/>
      <w:bookmarkEnd w:id="14"/>
      <w:bookmarkEnd w:id="15"/>
      <w:bookmarkEnd w:id="16"/>
      <w:bookmarkEnd w:id="17"/>
      <w:bookmarkEnd w:id="18"/>
      <w:bookmarkEnd w:id="19"/>
      <w:bookmarkEnd w:id="20"/>
      <w:bookmarkEnd w:id="21"/>
      <w:bookmarkEnd w:id="22"/>
      <w:bookmarkEnd w:id="23"/>
    </w:p>
    <w:p w14:paraId="615E3797" w14:textId="4E78D311" w:rsidR="00BF7369" w:rsidRDefault="00426D93" w:rsidP="00A570CD">
      <w:r>
        <w:t>For LTE-</w:t>
      </w:r>
      <w:r w:rsidR="00BF7369">
        <w:t>NR DC it should</w:t>
      </w:r>
      <w:r>
        <w:t xml:space="preserve"> also</w:t>
      </w:r>
      <w:r w:rsidR="00BF7369">
        <w:t xml:space="preserve"> be considered that the used PDCP version (LTE or NR) </w:t>
      </w:r>
      <w:r>
        <w:t xml:space="preserve">may </w:t>
      </w:r>
      <w:r w:rsidR="00BF7369">
        <w:t>c</w:t>
      </w:r>
      <w:r>
        <w:t>hange</w:t>
      </w:r>
      <w:r w:rsidR="00BF7369">
        <w:t xml:space="preserve">. Therefore, change of the PDCP version in the receiving entity must be synchronized with the used PDCP version in the transmitter as well as all PDCP PDUs of a certain version in flight. E.g. when the PDCP receiver is changed to NR PDCP, </w:t>
      </w:r>
      <w:r w:rsidR="0000255E">
        <w:t xml:space="preserve">the UE must not </w:t>
      </w:r>
      <w:r w:rsidR="00BF7369">
        <w:t xml:space="preserve">receive anymore PDCP PDUs based on an LTE PDCP format. For these reasons a synchronized reconfiguration procedure should be considered, and lower layers, i.e. MAC and RLC should be flushed. The procedure should also be lossless, i.e. the bearer type reconfiguration should not be visible to higher layers such as TCP. Such a procedure would be in-line with PDCP reestablishment, as used today, however enhanced to support also reestablishment between LTE PDCP and NR PDCP (and vice versa). </w:t>
      </w:r>
    </w:p>
    <w:p w14:paraId="2CF99579" w14:textId="6571E93B" w:rsidR="00BF7369" w:rsidRDefault="004C360F" w:rsidP="000C3323">
      <w:pPr>
        <w:pStyle w:val="Proposal"/>
      </w:pPr>
      <w:bookmarkStart w:id="24" w:name="_Toc473902445"/>
      <w:bookmarkStart w:id="25" w:name="_Toc473928841"/>
      <w:bookmarkStart w:id="26" w:name="_Toc478159537"/>
      <w:bookmarkStart w:id="27" w:name="_Toc478159821"/>
      <w:bookmarkStart w:id="28" w:name="_Toc481581154"/>
      <w:bookmarkStart w:id="29" w:name="_Toc481584809"/>
      <w:bookmarkStart w:id="30" w:name="_Toc481790493"/>
      <w:bookmarkStart w:id="31" w:name="_Toc481796945"/>
      <w:bookmarkStart w:id="32" w:name="_Toc484595313"/>
      <w:bookmarkStart w:id="33" w:name="_Toc485161081"/>
      <w:bookmarkStart w:id="34" w:name="_Toc485421137"/>
      <w:r>
        <w:t>PDCP reestablishment procedure is supported across PDCP versions (i.e. LTE PDCP to NR PDCP and vice versa).</w:t>
      </w:r>
      <w:bookmarkEnd w:id="24"/>
      <w:bookmarkEnd w:id="25"/>
      <w:bookmarkEnd w:id="26"/>
      <w:bookmarkEnd w:id="27"/>
      <w:bookmarkEnd w:id="28"/>
      <w:bookmarkEnd w:id="29"/>
      <w:bookmarkEnd w:id="30"/>
      <w:bookmarkEnd w:id="31"/>
      <w:bookmarkEnd w:id="32"/>
      <w:bookmarkEnd w:id="33"/>
      <w:bookmarkEnd w:id="34"/>
    </w:p>
    <w:p w14:paraId="2A114051" w14:textId="77777777" w:rsidR="00F032C2" w:rsidRDefault="00F032C2" w:rsidP="00A570CD"/>
    <w:p w14:paraId="0B6C93F9" w14:textId="2E60C477" w:rsidR="00F032C2" w:rsidRDefault="00F032C2" w:rsidP="00A570CD">
      <w:r>
        <w:t xml:space="preserve">Taking the above general principles in mind, we will next look at </w:t>
      </w:r>
      <w:r w:rsidR="00072C8A">
        <w:t>more detailed bearer transitions, case by case. We will here assume a harmonized split bearer using NR PDCP and a configurable security key (KeNB or S-KeNB).</w:t>
      </w:r>
    </w:p>
    <w:p w14:paraId="451E0B08" w14:textId="4D513CAE" w:rsidR="00072C8A" w:rsidRDefault="00D63D13" w:rsidP="00A570CD">
      <w:pPr>
        <w:rPr>
          <w:u w:val="single"/>
        </w:rPr>
      </w:pPr>
      <w:r>
        <w:rPr>
          <w:u w:val="single"/>
        </w:rPr>
        <w:t>Non-split</w:t>
      </w:r>
      <w:r w:rsidR="00072C8A" w:rsidRPr="00072C8A">
        <w:rPr>
          <w:u w:val="single"/>
        </w:rPr>
        <w:t xml:space="preserve"> to split bearer</w:t>
      </w:r>
    </w:p>
    <w:p w14:paraId="3A613DDB" w14:textId="3667845C" w:rsidR="00C80E56" w:rsidRDefault="00274D44" w:rsidP="00A570CD">
      <w:r>
        <w:t>Ín it’s simplest form, this transition requires no PDCP action, if neither PDCP termination point nor PDCP version is changed. If termination point is changed, security key must also change and PDCP re-establishment is needed. PDCP re-establishment is also needed if the PDCP version is changed, e.g. from LTE to NR. Therefore, in order to avoid PDCP re-establishment for this bearer type change</w:t>
      </w:r>
      <w:r w:rsidR="00C80E56">
        <w:t xml:space="preserve">, </w:t>
      </w:r>
      <w:r>
        <w:t xml:space="preserve">it would be beneficial if the </w:t>
      </w:r>
      <w:r w:rsidR="00D63D13">
        <w:t>non-split</w:t>
      </w:r>
      <w:r>
        <w:t xml:space="preserve"> bearer could be configured with NR PDCP. </w:t>
      </w:r>
      <w:r w:rsidR="00EC593B">
        <w:t>Re-establishing PDCP during this switch will impact</w:t>
      </w:r>
      <w:r w:rsidR="00BB35B2">
        <w:t xml:space="preserve"> e2e</w:t>
      </w:r>
      <w:r w:rsidR="00EC593B">
        <w:t xml:space="preserve"> performance, since there will likely be data in the buffer and ongoing data transmission during this bearer type switch</w:t>
      </w:r>
      <w:r w:rsidR="00E83327">
        <w:t xml:space="preserve">. </w:t>
      </w:r>
    </w:p>
    <w:p w14:paraId="07301976" w14:textId="2BA6576B" w:rsidR="00D63D13" w:rsidRDefault="00D63D13" w:rsidP="00A570CD">
      <w:r>
        <w:t xml:space="preserve">There are </w:t>
      </w:r>
      <w:r w:rsidR="00C62C66">
        <w:t xml:space="preserve">three </w:t>
      </w:r>
      <w:r>
        <w:t>cases of non-split to split bearer transition:</w:t>
      </w:r>
    </w:p>
    <w:p w14:paraId="48AFF15D" w14:textId="7B922FA6" w:rsidR="00D63D13" w:rsidRDefault="00D63D13" w:rsidP="00D63D13">
      <w:pPr>
        <w:pStyle w:val="ListParagraph"/>
        <w:numPr>
          <w:ilvl w:val="0"/>
          <w:numId w:val="20"/>
        </w:numPr>
      </w:pPr>
      <w:r>
        <w:t xml:space="preserve">LTE DRB to split bearer. This transition will occur each time </w:t>
      </w:r>
      <w:r w:rsidR="009B686F">
        <w:t>EN-</w:t>
      </w:r>
      <w:r>
        <w:t>DC operation is established</w:t>
      </w:r>
      <w:r w:rsidR="009B686F">
        <w:t>, where the UE is directly configured with split bearer</w:t>
      </w:r>
      <w:r>
        <w:t>, e.g. du</w:t>
      </w:r>
      <w:r w:rsidR="0059494A">
        <w:t>e to user activity moving in and out of sleep state or movement in and out of NR coverage</w:t>
      </w:r>
      <w:r>
        <w:t xml:space="preserve">. Thus, from </w:t>
      </w:r>
      <w:r w:rsidR="0059494A">
        <w:t xml:space="preserve">e2e </w:t>
      </w:r>
      <w:r>
        <w:t>performance point of view, it would be important to avoid PDCP re-establishment during this transition.</w:t>
      </w:r>
    </w:p>
    <w:p w14:paraId="70DD4291" w14:textId="2FFE01E5" w:rsidR="00C62C66" w:rsidRDefault="00D63D13" w:rsidP="00D63D13">
      <w:pPr>
        <w:pStyle w:val="ListParagraph"/>
        <w:numPr>
          <w:ilvl w:val="0"/>
          <w:numId w:val="20"/>
        </w:numPr>
      </w:pPr>
      <w:r>
        <w:t>MCG</w:t>
      </w:r>
      <w:r w:rsidR="00C62C66">
        <w:t xml:space="preserve"> </w:t>
      </w:r>
      <w:r>
        <w:t xml:space="preserve">DRB to split bearer. This transition will only occur within RRC_CONNECTED, with </w:t>
      </w:r>
      <w:r w:rsidR="00C62C66">
        <w:t>EN-</w:t>
      </w:r>
      <w:r>
        <w:t>DC configured.</w:t>
      </w:r>
      <w:r w:rsidR="00C62C66">
        <w:t xml:space="preserve"> Considering that the best performance is achieved if split bearer can be </w:t>
      </w:r>
      <w:r w:rsidR="00C90776">
        <w:t xml:space="preserve">configured </w:t>
      </w:r>
      <w:r w:rsidR="00C62C66">
        <w:t xml:space="preserve">immediately at setup of EN-DC, optimising this transition may be regarded of secondary importance. </w:t>
      </w:r>
      <w:r w:rsidR="003A2208">
        <w:t xml:space="preserve">From eNB </w:t>
      </w:r>
      <w:r w:rsidR="00C62C66">
        <w:t>implementation</w:t>
      </w:r>
      <w:r w:rsidR="003A2208">
        <w:t xml:space="preserve"> point of view, it may be preferable to have one bearer type (MCG DRB) in EN-DC, which still uses LTE PDCP, and can be used e.g. for services that will not benefit from split bearer operation, e.g. VoLTE service.</w:t>
      </w:r>
    </w:p>
    <w:p w14:paraId="3EE718BA" w14:textId="3C87C9AC" w:rsidR="00D63D13" w:rsidRDefault="003A2208" w:rsidP="00D63D13">
      <w:pPr>
        <w:pStyle w:val="ListParagraph"/>
        <w:numPr>
          <w:ilvl w:val="0"/>
          <w:numId w:val="20"/>
        </w:numPr>
      </w:pPr>
      <w:r>
        <w:t>SCG DRB to split bearer. If there is no change of network node terminating PDCP, this transition can be made without PDCP re-establishment, as NR PDCP is used for both bearer types.</w:t>
      </w:r>
    </w:p>
    <w:p w14:paraId="40509956" w14:textId="2354D89A" w:rsidR="0059494A" w:rsidRDefault="0059494A" w:rsidP="0059494A">
      <w:pPr>
        <w:pStyle w:val="BodyText"/>
      </w:pPr>
      <w:r>
        <w:t xml:space="preserve">In summary, in order to support </w:t>
      </w:r>
      <w:r w:rsidR="00FA196A">
        <w:t xml:space="preserve">case </w:t>
      </w:r>
      <w:r>
        <w:t xml:space="preserve">1 </w:t>
      </w:r>
      <w:r w:rsidR="00FA196A">
        <w:t>e</w:t>
      </w:r>
      <w:r>
        <w:t xml:space="preserve">fficiently, it would be important to support the setup of DRB in LTE using NR PDCP. RRC aspects of this is discussed in </w:t>
      </w:r>
      <w:r w:rsidR="00FA196A">
        <w:fldChar w:fldCharType="begin"/>
      </w:r>
      <w:r w:rsidR="00FA196A">
        <w:instrText xml:space="preserve"> REF _Ref485160707 \n \h </w:instrText>
      </w:r>
      <w:r w:rsidR="00FA196A">
        <w:fldChar w:fldCharType="separate"/>
      </w:r>
      <w:r w:rsidR="00FA196A">
        <w:t>[2]</w:t>
      </w:r>
      <w:r w:rsidR="00FA196A">
        <w:fldChar w:fldCharType="end"/>
      </w:r>
      <w:r>
        <w:t>.</w:t>
      </w:r>
    </w:p>
    <w:p w14:paraId="409558C3" w14:textId="6DA9E645" w:rsidR="00EC593B" w:rsidRPr="00661A79" w:rsidRDefault="00EC593B" w:rsidP="00A570CD">
      <w:pPr>
        <w:pStyle w:val="Proposal"/>
      </w:pPr>
      <w:bookmarkStart w:id="35" w:name="_Toc484595314"/>
      <w:bookmarkStart w:id="36" w:name="_Toc485161082"/>
      <w:bookmarkStart w:id="37" w:name="_Toc485421138"/>
      <w:r>
        <w:t xml:space="preserve">It should be possible to establish </w:t>
      </w:r>
      <w:r w:rsidR="000F65A1">
        <w:t xml:space="preserve">a </w:t>
      </w:r>
      <w:r w:rsidR="009B686F">
        <w:t xml:space="preserve">LTE </w:t>
      </w:r>
      <w:r>
        <w:t>DRB with NR PDCP</w:t>
      </w:r>
      <w:bookmarkEnd w:id="35"/>
      <w:r w:rsidR="009B686F">
        <w:t>.</w:t>
      </w:r>
      <w:bookmarkEnd w:id="36"/>
      <w:bookmarkEnd w:id="37"/>
    </w:p>
    <w:p w14:paraId="5179617D" w14:textId="1AD1EB21" w:rsidR="00072C8A" w:rsidRPr="00274D44" w:rsidRDefault="00274D44" w:rsidP="00A570CD">
      <w:pPr>
        <w:rPr>
          <w:u w:val="single"/>
        </w:rPr>
      </w:pPr>
      <w:r w:rsidRPr="00274D44">
        <w:rPr>
          <w:u w:val="single"/>
        </w:rPr>
        <w:t xml:space="preserve">Split to </w:t>
      </w:r>
      <w:r w:rsidR="00971ABE">
        <w:rPr>
          <w:u w:val="single"/>
        </w:rPr>
        <w:t>non-split</w:t>
      </w:r>
      <w:r w:rsidRPr="00274D44">
        <w:rPr>
          <w:u w:val="single"/>
        </w:rPr>
        <w:t xml:space="preserve"> bearer</w:t>
      </w:r>
    </w:p>
    <w:p w14:paraId="31C988FE" w14:textId="223E7501" w:rsidR="000229BE" w:rsidRDefault="000229BE" w:rsidP="00274D44">
      <w:r>
        <w:t xml:space="preserve">If PDCP termination point is not changed, and if the PDCP version also does not change, PDCP recovery is used to recover PDCP PDUs pending in the lower layers of the </w:t>
      </w:r>
      <w:r w:rsidR="00EC593B">
        <w:t xml:space="preserve">link to be removed. If </w:t>
      </w:r>
      <w:r w:rsidR="003A12E8">
        <w:t xml:space="preserve">PDCP </w:t>
      </w:r>
      <w:r w:rsidR="00EC593B">
        <w:t>termination point is changed, security key must also change and PDCP re-establishment is needed. PDCP re-establishment is also needed if PDCP version is changed.</w:t>
      </w:r>
      <w:r w:rsidR="00BB35B2">
        <w:t xml:space="preserve"> PDCP re-establishment during switch from split to MCG or SCG bearer may as such not impact e2e performance, since the link rate will anyway decrease. On the other hand, considering a potential subsequent up-switch to split bearer when NR coverage again becomes available, it</w:t>
      </w:r>
      <w:r w:rsidR="001A0736">
        <w:t xml:space="preserve"> would be preferable to keep the PDCP version, </w:t>
      </w:r>
      <w:r w:rsidR="00BB35B2">
        <w:t xml:space="preserve">encryption key </w:t>
      </w:r>
      <w:r w:rsidR="001A0736">
        <w:t xml:space="preserve">and network termination point </w:t>
      </w:r>
      <w:r w:rsidR="00BB35B2">
        <w:t xml:space="preserve">that was used during split bearer operation, so that PDCP re-establishment is not needed during the </w:t>
      </w:r>
      <w:r w:rsidR="001A0736">
        <w:t>switch back to split bearer operation</w:t>
      </w:r>
      <w:r w:rsidR="00BB35B2">
        <w:t xml:space="preserve">, where the available link rate will increase and </w:t>
      </w:r>
      <w:r w:rsidR="00E83365">
        <w:t>PDCP re-establishment</w:t>
      </w:r>
      <w:r w:rsidR="00BB35B2">
        <w:t xml:space="preserve"> will have negative impact on e2e performance.</w:t>
      </w:r>
    </w:p>
    <w:p w14:paraId="56076646" w14:textId="3D9FAEA8" w:rsidR="005A4EAD" w:rsidRPr="00661A79" w:rsidRDefault="005A4EAD" w:rsidP="005A4EAD">
      <w:pPr>
        <w:pStyle w:val="Proposal"/>
      </w:pPr>
      <w:bookmarkStart w:id="38" w:name="_Toc484595315"/>
      <w:bookmarkStart w:id="39" w:name="_Toc485161083"/>
      <w:bookmarkStart w:id="40" w:name="_Toc485421139"/>
      <w:r>
        <w:t xml:space="preserve">It should be possible to </w:t>
      </w:r>
      <w:r w:rsidR="005E6D4D">
        <w:t>keep the PDCP termination point and version during split to</w:t>
      </w:r>
      <w:r>
        <w:t xml:space="preserve"> MCG DRB </w:t>
      </w:r>
      <w:r w:rsidR="005E6D4D">
        <w:t>bearer type switch.</w:t>
      </w:r>
      <w:bookmarkEnd w:id="38"/>
      <w:bookmarkEnd w:id="39"/>
      <w:bookmarkEnd w:id="40"/>
    </w:p>
    <w:p w14:paraId="6FD44D4D" w14:textId="24FF89F3" w:rsidR="00EC593B" w:rsidRPr="00BB35B2" w:rsidRDefault="00BB35B2" w:rsidP="00274D44">
      <w:pPr>
        <w:rPr>
          <w:u w:val="single"/>
        </w:rPr>
      </w:pPr>
      <w:r w:rsidRPr="00BB35B2">
        <w:rPr>
          <w:u w:val="single"/>
        </w:rPr>
        <w:t>Split to split bea</w:t>
      </w:r>
      <w:r>
        <w:rPr>
          <w:u w:val="single"/>
        </w:rPr>
        <w:t>r</w:t>
      </w:r>
      <w:r w:rsidRPr="00BB35B2">
        <w:rPr>
          <w:u w:val="single"/>
        </w:rPr>
        <w:t>er</w:t>
      </w:r>
      <w:r w:rsidR="00D11C2F">
        <w:rPr>
          <w:u w:val="single"/>
        </w:rPr>
        <w:t xml:space="preserve"> or MCG to SCG bearer</w:t>
      </w:r>
    </w:p>
    <w:p w14:paraId="14DC7AB9" w14:textId="206304F7" w:rsidR="00D11C2F" w:rsidRDefault="00BB35B2" w:rsidP="00274D44">
      <w:r>
        <w:t>This is basically to cover the case of change of PDCP termination point on the network side. It involves security key change, and thus PDCP re-establishment is needed.</w:t>
      </w:r>
    </w:p>
    <w:p w14:paraId="40ACDF6C" w14:textId="77777777" w:rsidR="00274D44" w:rsidRDefault="00274D44" w:rsidP="00A570CD"/>
    <w:p w14:paraId="05A0998C" w14:textId="6909EC17" w:rsidR="00D95827" w:rsidRDefault="00D95827" w:rsidP="00A570CD">
      <w:r>
        <w:t>The bearer type change</w:t>
      </w:r>
      <w:r w:rsidR="004F5D5F">
        <w:t>s</w:t>
      </w:r>
      <w:r>
        <w:t xml:space="preserve"> as discussed above are illustrated in Figure 1.</w:t>
      </w:r>
    </w:p>
    <w:p w14:paraId="7FFB35E4" w14:textId="341C1AEB" w:rsidR="00D95827" w:rsidRDefault="006765CB" w:rsidP="00D95827">
      <w:pPr>
        <w:keepNext/>
        <w:jc w:val="center"/>
      </w:pPr>
      <w:r>
        <w:rPr>
          <w:noProof/>
          <w:lang w:val="fi-FI" w:eastAsia="fi-FI"/>
        </w:rPr>
        <w:drawing>
          <wp:inline distT="0" distB="0" distL="0" distR="0" wp14:anchorId="562F8F9C" wp14:editId="65E4AFBE">
            <wp:extent cx="5642858" cy="310432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2673" cy="3109724"/>
                    </a:xfrm>
                    <a:prstGeom prst="rect">
                      <a:avLst/>
                    </a:prstGeom>
                    <a:noFill/>
                  </pic:spPr>
                </pic:pic>
              </a:graphicData>
            </a:graphic>
          </wp:inline>
        </w:drawing>
      </w:r>
    </w:p>
    <w:p w14:paraId="634F7911" w14:textId="58CD773F" w:rsidR="00D95827" w:rsidRDefault="00D95827" w:rsidP="00D95827">
      <w:pPr>
        <w:pStyle w:val="Caption"/>
      </w:pPr>
      <w:r>
        <w:t xml:space="preserve">Figure </w:t>
      </w:r>
      <w:r>
        <w:fldChar w:fldCharType="begin"/>
      </w:r>
      <w:r>
        <w:instrText xml:space="preserve"> SEQ Figure \* ARABIC </w:instrText>
      </w:r>
      <w:r>
        <w:fldChar w:fldCharType="separate"/>
      </w:r>
      <w:r w:rsidR="00F032C2">
        <w:rPr>
          <w:noProof/>
        </w:rPr>
        <w:t>1</w:t>
      </w:r>
      <w:r>
        <w:fldChar w:fldCharType="end"/>
      </w:r>
      <w:r>
        <w:t>: Bearer type changes in NR and LTE NR DC.</w:t>
      </w:r>
    </w:p>
    <w:p w14:paraId="4B2F98FC" w14:textId="77777777" w:rsidR="001F5C96" w:rsidRDefault="001F5C96" w:rsidP="00B95D37"/>
    <w:p w14:paraId="37073D30" w14:textId="77777777" w:rsidR="00C01F33" w:rsidRPr="00CE0424" w:rsidRDefault="00C01F33" w:rsidP="00CE0424">
      <w:pPr>
        <w:pStyle w:val="Heading1"/>
      </w:pPr>
      <w:r w:rsidRPr="00CE0424">
        <w:t>Conclusion</w:t>
      </w:r>
    </w:p>
    <w:p w14:paraId="19D6CA61" w14:textId="783C5645" w:rsidR="004A483C" w:rsidRDefault="008E065E" w:rsidP="004A483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032C2">
        <w:t>2</w:t>
      </w:r>
      <w:r w:rsidRPr="00CE0424">
        <w:rPr>
          <w:highlight w:val="cyan"/>
        </w:rPr>
        <w:fldChar w:fldCharType="end"/>
      </w:r>
      <w:r w:rsidRPr="00CE0424">
        <w:t xml:space="preserve"> we propose the following:</w:t>
      </w:r>
    </w:p>
    <w:p w14:paraId="635269B0" w14:textId="77777777" w:rsidR="000B52A1" w:rsidRPr="000B52A1" w:rsidRDefault="00FA62C3">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0B52A1">
        <w:t>Proposal 1</w:t>
      </w:r>
      <w:r w:rsidR="000B52A1" w:rsidRPr="000B52A1">
        <w:rPr>
          <w:rFonts w:asciiTheme="minorHAnsi" w:eastAsiaTheme="minorEastAsia" w:hAnsiTheme="minorHAnsi" w:cstheme="minorBidi"/>
          <w:b w:val="0"/>
          <w:sz w:val="22"/>
          <w:lang w:val="en-GB" w:eastAsia="fi-FI"/>
        </w:rPr>
        <w:tab/>
      </w:r>
      <w:r w:rsidR="000B52A1">
        <w:t>Switches between non-split bearer and split bearer within the same cell group with potential data loss on MAC and RLC can be handled by PDCP retransmissions, e.g. with the PDCP data recovery procedure.</w:t>
      </w:r>
    </w:p>
    <w:p w14:paraId="6BAD75A1" w14:textId="77777777" w:rsidR="000B52A1" w:rsidRPr="000B52A1" w:rsidRDefault="000B52A1">
      <w:pPr>
        <w:pStyle w:val="TOC1"/>
        <w:rPr>
          <w:rFonts w:asciiTheme="minorHAnsi" w:eastAsiaTheme="minorEastAsia" w:hAnsiTheme="minorHAnsi" w:cstheme="minorBidi"/>
          <w:b w:val="0"/>
          <w:sz w:val="22"/>
          <w:lang w:val="en-GB" w:eastAsia="fi-FI"/>
        </w:rPr>
      </w:pPr>
      <w:r>
        <w:t>Proposal 2</w:t>
      </w:r>
      <w:r w:rsidRPr="000B52A1">
        <w:rPr>
          <w:rFonts w:asciiTheme="minorHAnsi" w:eastAsiaTheme="minorEastAsia" w:hAnsiTheme="minorHAnsi" w:cstheme="minorBidi"/>
          <w:b w:val="0"/>
          <w:sz w:val="22"/>
          <w:lang w:val="en-GB" w:eastAsia="fi-FI"/>
        </w:rPr>
        <w:tab/>
      </w:r>
      <w:r>
        <w:t>Bearer type switches with change of PDCP termination point, include PDCP reestablishment procedure.</w:t>
      </w:r>
    </w:p>
    <w:p w14:paraId="78868284" w14:textId="77777777" w:rsidR="000B52A1" w:rsidRPr="000B52A1" w:rsidRDefault="000B52A1">
      <w:pPr>
        <w:pStyle w:val="TOC1"/>
        <w:rPr>
          <w:rFonts w:asciiTheme="minorHAnsi" w:eastAsiaTheme="minorEastAsia" w:hAnsiTheme="minorHAnsi" w:cstheme="minorBidi"/>
          <w:b w:val="0"/>
          <w:sz w:val="22"/>
          <w:lang w:val="en-GB" w:eastAsia="fi-FI"/>
        </w:rPr>
      </w:pPr>
      <w:r>
        <w:t>Proposal 3</w:t>
      </w:r>
      <w:r w:rsidRPr="000B52A1">
        <w:rPr>
          <w:rFonts w:asciiTheme="minorHAnsi" w:eastAsiaTheme="minorEastAsia" w:hAnsiTheme="minorHAnsi" w:cstheme="minorBidi"/>
          <w:b w:val="0"/>
          <w:sz w:val="22"/>
          <w:lang w:val="en-GB" w:eastAsia="fi-FI"/>
        </w:rPr>
        <w:tab/>
      </w:r>
      <w:r>
        <w:t>PDCP reestablishment procedure is supported across PDCP versions (i.e. LTE PDCP to NR PDCP and vice versa).</w:t>
      </w:r>
    </w:p>
    <w:p w14:paraId="5B4A0AD9" w14:textId="77777777" w:rsidR="000B52A1" w:rsidRPr="000B52A1" w:rsidRDefault="000B52A1">
      <w:pPr>
        <w:pStyle w:val="TOC1"/>
        <w:rPr>
          <w:rFonts w:asciiTheme="minorHAnsi" w:eastAsiaTheme="minorEastAsia" w:hAnsiTheme="minorHAnsi" w:cstheme="minorBidi"/>
          <w:b w:val="0"/>
          <w:sz w:val="22"/>
          <w:lang w:val="en-GB" w:eastAsia="fi-FI"/>
        </w:rPr>
      </w:pPr>
      <w:r>
        <w:t>Proposal 4</w:t>
      </w:r>
      <w:r w:rsidRPr="000B52A1">
        <w:rPr>
          <w:rFonts w:asciiTheme="minorHAnsi" w:eastAsiaTheme="minorEastAsia" w:hAnsiTheme="minorHAnsi" w:cstheme="minorBidi"/>
          <w:b w:val="0"/>
          <w:sz w:val="22"/>
          <w:lang w:val="en-GB" w:eastAsia="fi-FI"/>
        </w:rPr>
        <w:tab/>
      </w:r>
      <w:r>
        <w:t>It should be possible to establish a LTE DRB with NR PDCP.</w:t>
      </w:r>
    </w:p>
    <w:p w14:paraId="428EFB47" w14:textId="77777777" w:rsidR="000B52A1" w:rsidRPr="000B52A1" w:rsidRDefault="000B52A1">
      <w:pPr>
        <w:pStyle w:val="TOC1"/>
        <w:rPr>
          <w:rFonts w:asciiTheme="minorHAnsi" w:eastAsiaTheme="minorEastAsia" w:hAnsiTheme="minorHAnsi" w:cstheme="minorBidi"/>
          <w:b w:val="0"/>
          <w:sz w:val="22"/>
          <w:lang w:val="en-GB" w:eastAsia="fi-FI"/>
        </w:rPr>
      </w:pPr>
      <w:r>
        <w:t>Proposal 5</w:t>
      </w:r>
      <w:r w:rsidRPr="000B52A1">
        <w:rPr>
          <w:rFonts w:asciiTheme="minorHAnsi" w:eastAsiaTheme="minorEastAsia" w:hAnsiTheme="minorHAnsi" w:cstheme="minorBidi"/>
          <w:b w:val="0"/>
          <w:sz w:val="22"/>
          <w:lang w:val="en-GB" w:eastAsia="fi-FI"/>
        </w:rPr>
        <w:tab/>
      </w:r>
      <w:r>
        <w:t>It should be possible to keep the PDCP termination point and version during split to MCG DRB bearer type switch.</w:t>
      </w:r>
    </w:p>
    <w:p w14:paraId="15F22755" w14:textId="5E4DA226" w:rsidR="00FA62C3" w:rsidRPr="00D04434" w:rsidRDefault="00FA62C3" w:rsidP="00FA62C3">
      <w:pPr>
        <w:rPr>
          <w:b/>
          <w:bCs/>
        </w:rPr>
      </w:pPr>
      <w:r>
        <w:rPr>
          <w:b/>
          <w:bCs/>
        </w:rPr>
        <w:fldChar w:fldCharType="end"/>
      </w:r>
    </w:p>
    <w:p w14:paraId="6519B324" w14:textId="07F998FB" w:rsidR="003A7EF3" w:rsidRDefault="009579D2" w:rsidP="00271563">
      <w:pPr>
        <w:pStyle w:val="Heading1"/>
      </w:pPr>
      <w:r>
        <w:t>References</w:t>
      </w:r>
    </w:p>
    <w:p w14:paraId="2EC2F35F" w14:textId="77777777" w:rsidR="000B52A1" w:rsidRDefault="00C83D20" w:rsidP="000B52A1">
      <w:pPr>
        <w:pStyle w:val="Reference"/>
      </w:pPr>
      <w:bookmarkStart w:id="41" w:name="_Ref481566365"/>
      <w:r w:rsidRPr="00C83D20">
        <w:t>R2-170</w:t>
      </w:r>
      <w:r w:rsidR="000B52A1">
        <w:t>7235</w:t>
      </w:r>
      <w:r w:rsidRPr="00C83D20">
        <w:t xml:space="preserve">, </w:t>
      </w:r>
      <w:r w:rsidR="00ED5AFA">
        <w:t>Bearer harmonization</w:t>
      </w:r>
      <w:r>
        <w:t xml:space="preserve">, </w:t>
      </w:r>
      <w:bookmarkStart w:id="42" w:name="_Ref485160707"/>
      <w:bookmarkEnd w:id="41"/>
      <w:r w:rsidR="000B52A1" w:rsidRPr="000B52A1">
        <w:t xml:space="preserve">Ericsson, NTT DOCOMO, INC., LG Electronics Inc., Nokia, Alcatel-Lucent Shanghai Bell, Qualcomm Incorporated, KT Corporation, Lenovo, Motorola Mobility </w:t>
      </w:r>
    </w:p>
    <w:p w14:paraId="48B8316E" w14:textId="7F56FD39" w:rsidR="0059494A" w:rsidRDefault="000B52A1" w:rsidP="000B52A1">
      <w:pPr>
        <w:pStyle w:val="Reference"/>
      </w:pPr>
      <w:r>
        <w:t>R2-1706571</w:t>
      </w:r>
      <w:r w:rsidR="0059494A">
        <w:t xml:space="preserve">, </w:t>
      </w:r>
      <w:r w:rsidRPr="000B52A1">
        <w:t>RRC procedure and signalling for harmonised bearers</w:t>
      </w:r>
      <w:r w:rsidR="0059494A">
        <w:t>, Ericsson</w:t>
      </w:r>
      <w:bookmarkEnd w:id="42"/>
    </w:p>
    <w:p w14:paraId="0D6E9C5E" w14:textId="7D7780A6" w:rsidR="009579D2" w:rsidRDefault="009579D2" w:rsidP="009579D2"/>
    <w:p w14:paraId="6C8F5D35" w14:textId="662C8335" w:rsidR="00377F41" w:rsidRDefault="00377F41" w:rsidP="00377F41">
      <w:pPr>
        <w:pStyle w:val="Heading1"/>
      </w:pPr>
      <w:r>
        <w:t>Annex: Agreement history</w:t>
      </w:r>
    </w:p>
    <w:p w14:paraId="44439C58" w14:textId="77777777" w:rsidR="00377F41" w:rsidRDefault="00377F41" w:rsidP="00377F41">
      <w:pPr>
        <w:pStyle w:val="BodyText"/>
      </w:pPr>
      <w:r>
        <w:t>At RAN2#96:</w:t>
      </w:r>
    </w:p>
    <w:p w14:paraId="70D1A219"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354499E2"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1</w:t>
      </w:r>
      <w:r>
        <w:tab/>
        <w:t>In Scenario 3A, the PDCP layer for SCG Bearers is NR-PDCP.</w:t>
      </w:r>
    </w:p>
    <w:p w14:paraId="23D0563C"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2</w:t>
      </w:r>
      <w:r>
        <w:tab/>
        <w:t>In scenario 3A, there is a 1:1 mapping between S1 bearer and DRB for SCG bearers.</w:t>
      </w:r>
    </w:p>
    <w:p w14:paraId="0A88FB31"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3</w:t>
      </w:r>
      <w:r>
        <w:tab/>
        <w:t xml:space="preserve">For tight interworking, support is needed for reconfiguration between SCG bearer and MCG bearer, for reconfiguration of SCG bearer between two secondary nodes, </w:t>
      </w:r>
      <w:r w:rsidRPr="00580771">
        <w:t xml:space="preserve">for reconfiguration between </w:t>
      </w:r>
      <w:r>
        <w:t>MCG</w:t>
      </w:r>
      <w:r w:rsidRPr="00580771">
        <w:t xml:space="preserve"> bearer and MCG </w:t>
      </w:r>
      <w:r>
        <w:t xml:space="preserve">split </w:t>
      </w:r>
      <w:r w:rsidRPr="00580771">
        <w:t>bearer</w:t>
      </w:r>
      <w:r>
        <w:t xml:space="preserve"> (this doesn’t exclude other reconfiguration cases being discussed)</w:t>
      </w:r>
    </w:p>
    <w:p w14:paraId="44192D8A" w14:textId="77777777" w:rsidR="00377F41" w:rsidRPr="00CE3B2B" w:rsidRDefault="00377F41" w:rsidP="00377F41">
      <w:pPr>
        <w:pStyle w:val="Doc-text2"/>
        <w:pBdr>
          <w:top w:val="single" w:sz="4" w:space="1" w:color="auto"/>
          <w:left w:val="single" w:sz="4" w:space="4" w:color="auto"/>
          <w:bottom w:val="single" w:sz="4" w:space="1" w:color="auto"/>
          <w:right w:val="single" w:sz="4" w:space="4" w:color="auto"/>
        </w:pBdr>
      </w:pPr>
      <w:r>
        <w:t>4</w:t>
      </w:r>
      <w:r>
        <w:tab/>
        <w:t>RAN2 will study PDCP procedures for changing the PDCP-SN length that are lossless and maintain ordered delivery of higher-layer data.  To be studied for reconfigurations between LTE and NR and reconfigurations within NR</w:t>
      </w:r>
    </w:p>
    <w:p w14:paraId="70BECEEB" w14:textId="77777777" w:rsidR="00377F41" w:rsidRDefault="00377F41" w:rsidP="00377F41">
      <w:pPr>
        <w:pStyle w:val="BodyText"/>
      </w:pPr>
    </w:p>
    <w:p w14:paraId="05F91DC9" w14:textId="7EDC9EA3" w:rsidR="00377F41" w:rsidRDefault="00377F41" w:rsidP="00377F41">
      <w:pPr>
        <w:pStyle w:val="BodyText"/>
      </w:pPr>
      <w:r>
        <w:t>At RAN2 NR Adhoc January, 2017:</w:t>
      </w:r>
    </w:p>
    <w:p w14:paraId="40F8628A"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13E91CA8"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w:t>
      </w:r>
      <w:r>
        <w:tab/>
      </w:r>
      <w:r w:rsidRPr="00EA33AC">
        <w:t xml:space="preserve">Support Split </w:t>
      </w:r>
      <w:r>
        <w:t>bearer via SCG for E-UTRA-NR DC for case where LTE is the master node.</w:t>
      </w:r>
    </w:p>
    <w:p w14:paraId="70FD084F"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FFS whether SCG split bearer is support for cases where NR is the master node</w:t>
      </w:r>
    </w:p>
    <w:p w14:paraId="3634B024" w14:textId="77777777" w:rsidR="00377F41" w:rsidRDefault="00377F41" w:rsidP="00377F41">
      <w:pPr>
        <w:pStyle w:val="Doc-text2"/>
      </w:pPr>
    </w:p>
    <w:p w14:paraId="1E562F38"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6B5E3E86"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w:t>
      </w:r>
      <w:r>
        <w:tab/>
        <w:t>SCG split bearers where master node is LTE and secondary node is NR uses NR-PDCP.</w:t>
      </w:r>
    </w:p>
    <w:p w14:paraId="199189F3"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w:t>
      </w:r>
      <w:r>
        <w:tab/>
        <w:t xml:space="preserve">For SCG split bearer connected to EPC there is a 1:1 mapping between S1 bearer and DRB </w:t>
      </w:r>
    </w:p>
    <w:p w14:paraId="7F65FF13" w14:textId="77777777" w:rsidR="00377F41" w:rsidRPr="00F73692" w:rsidRDefault="00377F41" w:rsidP="00377F41">
      <w:pPr>
        <w:pStyle w:val="Doc-text2"/>
      </w:pPr>
    </w:p>
    <w:p w14:paraId="06F766E7"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5C336E14"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 at least for the case of mobility where the PDCP anchor point is not changed. (To be confirmed by SA3)</w:t>
      </w:r>
    </w:p>
    <w:p w14:paraId="3C12DE04"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22B52EB0" w14:textId="50F7BC3F" w:rsidR="00377F41" w:rsidRDefault="00377F41" w:rsidP="00377F41"/>
    <w:p w14:paraId="25AACBC2" w14:textId="188978E2" w:rsidR="00377F41" w:rsidRDefault="00F50128" w:rsidP="00377F41">
      <w:r>
        <w:t>At RAN2#97bis:</w:t>
      </w:r>
    </w:p>
    <w:p w14:paraId="04D51494"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Agreements</w:t>
      </w:r>
    </w:p>
    <w:p w14:paraId="7D832F59"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1: The following combinations of bearer types cannot be configured simultaneously in LTE-NR DC simultaneously for user plane DRBs:</w:t>
      </w:r>
    </w:p>
    <w:p w14:paraId="2CBC6DBF"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split bearer and SCG split bearer</w:t>
      </w:r>
    </w:p>
    <w:p w14:paraId="53CB014B"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split bearer and SCG bearer (same as LTE DC)</w:t>
      </w:r>
    </w:p>
    <w:p w14:paraId="6CEF3244" w14:textId="71F3566E" w:rsidR="00F50128" w:rsidRDefault="00F50128" w:rsidP="00377F41"/>
    <w:p w14:paraId="25B1E925"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Agreements</w:t>
      </w:r>
    </w:p>
    <w:p w14:paraId="354A0230"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 xml:space="preserve">1: LTE-NR DC should support at least following bearer type change options </w:t>
      </w:r>
    </w:p>
    <w:p w14:paraId="7342CBCB"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bearer to/from MCG split bearer,</w:t>
      </w:r>
    </w:p>
    <w:p w14:paraId="64911B36"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bearer to/from SCG bearer,</w:t>
      </w:r>
    </w:p>
    <w:p w14:paraId="2DCDD92F"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bearer to MCG bearer,</w:t>
      </w:r>
    </w:p>
    <w:p w14:paraId="4D11AF7F"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SCG bearer to SCG bearer,</w:t>
      </w:r>
    </w:p>
    <w:p w14:paraId="3A8689A8"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split bearer to MCG split bearer</w:t>
      </w:r>
    </w:p>
    <w:p w14:paraId="565BC8CC"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2: LTE-NR DC should not support the direct bearer type change between MCG split bearer and SCG bearer.</w:t>
      </w:r>
    </w:p>
    <w:p w14:paraId="1A3320FD"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3: LTE-NR DC should support the one step bearer type change between MCG bearer to/from SCG split bearer.</w:t>
      </w:r>
    </w:p>
    <w:p w14:paraId="36854C73"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4</w:t>
      </w:r>
      <w:r>
        <w:tab/>
        <w:t xml:space="preserve"> LTE-NR DC shall support the bearer type change between SCG bearer and SCG split bearer.</w:t>
      </w:r>
    </w:p>
    <w:p w14:paraId="32D296A5"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6: LTE-NR DC should support the bearer type change between SCG split bearer and SCG split bearer.</w:t>
      </w:r>
    </w:p>
    <w:p w14:paraId="53E9FAA0"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FFS: Whether LTE-NR DC shall support the direct type change between MCG split bearer to/from SCG split bearer.</w:t>
      </w:r>
    </w:p>
    <w:p w14:paraId="1F47B05A" w14:textId="77777777" w:rsidR="00F50128" w:rsidRPr="00377F41" w:rsidRDefault="00F50128" w:rsidP="00377F41"/>
    <w:sectPr w:rsidR="00F50128" w:rsidRPr="00377F4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BFD50" w14:textId="77777777" w:rsidR="004731F6" w:rsidRDefault="004731F6">
      <w:r>
        <w:separator/>
      </w:r>
    </w:p>
  </w:endnote>
  <w:endnote w:type="continuationSeparator" w:id="0">
    <w:p w14:paraId="1A31DEF4" w14:textId="77777777" w:rsidR="004731F6" w:rsidRDefault="004731F6">
      <w:r>
        <w:continuationSeparator/>
      </w:r>
    </w:p>
  </w:endnote>
  <w:endnote w:type="continuationNotice" w:id="1">
    <w:p w14:paraId="4F280910" w14:textId="77777777" w:rsidR="004731F6" w:rsidRDefault="00473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E87A" w14:textId="2692C020" w:rsidR="008834AA" w:rsidRDefault="008834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52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2A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EDF7E" w14:textId="77777777" w:rsidR="004731F6" w:rsidRDefault="004731F6">
      <w:r>
        <w:separator/>
      </w:r>
    </w:p>
  </w:footnote>
  <w:footnote w:type="continuationSeparator" w:id="0">
    <w:p w14:paraId="737B3120" w14:textId="77777777" w:rsidR="004731F6" w:rsidRDefault="004731F6">
      <w:r>
        <w:continuationSeparator/>
      </w:r>
    </w:p>
  </w:footnote>
  <w:footnote w:type="continuationNotice" w:id="1">
    <w:p w14:paraId="40FF821B" w14:textId="77777777" w:rsidR="004731F6" w:rsidRDefault="00473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A8212" w14:textId="77777777" w:rsidR="008834AA" w:rsidRDefault="008834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14EBD"/>
    <w:multiLevelType w:val="hybridMultilevel"/>
    <w:tmpl w:val="40D23CBC"/>
    <w:lvl w:ilvl="0" w:tplc="0F8A71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61AB"/>
    <w:multiLevelType w:val="hybridMultilevel"/>
    <w:tmpl w:val="3F343888"/>
    <w:lvl w:ilvl="0" w:tplc="2A263734">
      <w:start w:val="1"/>
      <w:numFmt w:val="bullet"/>
      <w:lvlText w:val="›"/>
      <w:lvlJc w:val="left"/>
      <w:pPr>
        <w:tabs>
          <w:tab w:val="num" w:pos="720"/>
        </w:tabs>
        <w:ind w:left="720" w:hanging="360"/>
      </w:pPr>
      <w:rPr>
        <w:rFonts w:ascii="Arial" w:hAnsi="Arial" w:hint="default"/>
      </w:rPr>
    </w:lvl>
    <w:lvl w:ilvl="1" w:tplc="4828A02C">
      <w:numFmt w:val="bullet"/>
      <w:lvlText w:val="–"/>
      <w:lvlJc w:val="left"/>
      <w:pPr>
        <w:tabs>
          <w:tab w:val="num" w:pos="1440"/>
        </w:tabs>
        <w:ind w:left="1440" w:hanging="360"/>
      </w:pPr>
      <w:rPr>
        <w:rFonts w:ascii="Ericsson Capital TT" w:hAnsi="Ericsson Capital TT" w:hint="default"/>
      </w:rPr>
    </w:lvl>
    <w:lvl w:ilvl="2" w:tplc="43A213EC">
      <w:numFmt w:val="bullet"/>
      <w:lvlText w:val="›"/>
      <w:lvlJc w:val="left"/>
      <w:pPr>
        <w:tabs>
          <w:tab w:val="num" w:pos="2160"/>
        </w:tabs>
        <w:ind w:left="2160" w:hanging="360"/>
      </w:pPr>
      <w:rPr>
        <w:rFonts w:ascii="Ericsson Capital TT" w:hAnsi="Ericsson Capital TT" w:hint="default"/>
      </w:rPr>
    </w:lvl>
    <w:lvl w:ilvl="3" w:tplc="C978AB3E">
      <w:numFmt w:val="bullet"/>
      <w:lvlText w:val="-"/>
      <w:lvlJc w:val="left"/>
      <w:pPr>
        <w:tabs>
          <w:tab w:val="num" w:pos="2880"/>
        </w:tabs>
        <w:ind w:left="2880" w:hanging="360"/>
      </w:pPr>
      <w:rPr>
        <w:rFonts w:ascii="Ericsson Capital TT" w:hAnsi="Ericsson Capital TT" w:hint="default"/>
      </w:rPr>
    </w:lvl>
    <w:lvl w:ilvl="4" w:tplc="F3DE1D66" w:tentative="1">
      <w:start w:val="1"/>
      <w:numFmt w:val="bullet"/>
      <w:lvlText w:val="›"/>
      <w:lvlJc w:val="left"/>
      <w:pPr>
        <w:tabs>
          <w:tab w:val="num" w:pos="3600"/>
        </w:tabs>
        <w:ind w:left="3600" w:hanging="360"/>
      </w:pPr>
      <w:rPr>
        <w:rFonts w:ascii="Arial" w:hAnsi="Arial" w:hint="default"/>
      </w:rPr>
    </w:lvl>
    <w:lvl w:ilvl="5" w:tplc="132E1BDA" w:tentative="1">
      <w:start w:val="1"/>
      <w:numFmt w:val="bullet"/>
      <w:lvlText w:val="›"/>
      <w:lvlJc w:val="left"/>
      <w:pPr>
        <w:tabs>
          <w:tab w:val="num" w:pos="4320"/>
        </w:tabs>
        <w:ind w:left="4320" w:hanging="360"/>
      </w:pPr>
      <w:rPr>
        <w:rFonts w:ascii="Arial" w:hAnsi="Arial" w:hint="default"/>
      </w:rPr>
    </w:lvl>
    <w:lvl w:ilvl="6" w:tplc="BBA0580A" w:tentative="1">
      <w:start w:val="1"/>
      <w:numFmt w:val="bullet"/>
      <w:lvlText w:val="›"/>
      <w:lvlJc w:val="left"/>
      <w:pPr>
        <w:tabs>
          <w:tab w:val="num" w:pos="5040"/>
        </w:tabs>
        <w:ind w:left="5040" w:hanging="360"/>
      </w:pPr>
      <w:rPr>
        <w:rFonts w:ascii="Arial" w:hAnsi="Arial" w:hint="default"/>
      </w:rPr>
    </w:lvl>
    <w:lvl w:ilvl="7" w:tplc="F2205FAC" w:tentative="1">
      <w:start w:val="1"/>
      <w:numFmt w:val="bullet"/>
      <w:lvlText w:val="›"/>
      <w:lvlJc w:val="left"/>
      <w:pPr>
        <w:tabs>
          <w:tab w:val="num" w:pos="5760"/>
        </w:tabs>
        <w:ind w:left="5760" w:hanging="360"/>
      </w:pPr>
      <w:rPr>
        <w:rFonts w:ascii="Arial" w:hAnsi="Arial" w:hint="default"/>
      </w:rPr>
    </w:lvl>
    <w:lvl w:ilvl="8" w:tplc="B0CC35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A36607"/>
    <w:multiLevelType w:val="hybridMultilevel"/>
    <w:tmpl w:val="89B42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41406"/>
    <w:multiLevelType w:val="hybridMultilevel"/>
    <w:tmpl w:val="4AAE4D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D64C13"/>
    <w:multiLevelType w:val="hybridMultilevel"/>
    <w:tmpl w:val="43EE5ED2"/>
    <w:lvl w:ilvl="0" w:tplc="E1A057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C1AC7"/>
    <w:multiLevelType w:val="hybridMultilevel"/>
    <w:tmpl w:val="E76E279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D04649A"/>
    <w:multiLevelType w:val="hybridMultilevel"/>
    <w:tmpl w:val="9CAC0D38"/>
    <w:lvl w:ilvl="0" w:tplc="1AC66E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11"/>
  </w:num>
  <w:num w:numId="15">
    <w:abstractNumId w:val="8"/>
  </w:num>
  <w:num w:numId="16">
    <w:abstractNumId w:val="17"/>
  </w:num>
  <w:num w:numId="17">
    <w:abstractNumId w:val="4"/>
  </w:num>
  <w:num w:numId="18">
    <w:abstractNumId w:val="19"/>
  </w:num>
  <w:num w:numId="19">
    <w:abstractNumId w:val="18"/>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FE"/>
    <w:rsid w:val="000006E1"/>
    <w:rsid w:val="0000255E"/>
    <w:rsid w:val="00002A37"/>
    <w:rsid w:val="00006446"/>
    <w:rsid w:val="00006896"/>
    <w:rsid w:val="00006B58"/>
    <w:rsid w:val="00007CDC"/>
    <w:rsid w:val="00011B28"/>
    <w:rsid w:val="00015D15"/>
    <w:rsid w:val="000208A4"/>
    <w:rsid w:val="000229BE"/>
    <w:rsid w:val="0002564D"/>
    <w:rsid w:val="00025ECA"/>
    <w:rsid w:val="00027939"/>
    <w:rsid w:val="000325B8"/>
    <w:rsid w:val="00032E75"/>
    <w:rsid w:val="00034C15"/>
    <w:rsid w:val="00036BA1"/>
    <w:rsid w:val="000422E2"/>
    <w:rsid w:val="00042F22"/>
    <w:rsid w:val="000444EF"/>
    <w:rsid w:val="00052A07"/>
    <w:rsid w:val="000534E3"/>
    <w:rsid w:val="0005606A"/>
    <w:rsid w:val="00057117"/>
    <w:rsid w:val="000616E7"/>
    <w:rsid w:val="00063CAB"/>
    <w:rsid w:val="0006487E"/>
    <w:rsid w:val="00064BEA"/>
    <w:rsid w:val="00065E1A"/>
    <w:rsid w:val="00067548"/>
    <w:rsid w:val="0007268F"/>
    <w:rsid w:val="00072C8A"/>
    <w:rsid w:val="00077E5F"/>
    <w:rsid w:val="0008036A"/>
    <w:rsid w:val="00081AE6"/>
    <w:rsid w:val="000855EB"/>
    <w:rsid w:val="00085B52"/>
    <w:rsid w:val="00086571"/>
    <w:rsid w:val="000866F2"/>
    <w:rsid w:val="0009009F"/>
    <w:rsid w:val="00091557"/>
    <w:rsid w:val="000924C1"/>
    <w:rsid w:val="000924F0"/>
    <w:rsid w:val="00093474"/>
    <w:rsid w:val="0009510F"/>
    <w:rsid w:val="000A1B7B"/>
    <w:rsid w:val="000A21B6"/>
    <w:rsid w:val="000A56F2"/>
    <w:rsid w:val="000A632E"/>
    <w:rsid w:val="000B2719"/>
    <w:rsid w:val="000B3A8F"/>
    <w:rsid w:val="000B4AB9"/>
    <w:rsid w:val="000B52A1"/>
    <w:rsid w:val="000B58C3"/>
    <w:rsid w:val="000B5EF8"/>
    <w:rsid w:val="000B61E9"/>
    <w:rsid w:val="000C165A"/>
    <w:rsid w:val="000C2E19"/>
    <w:rsid w:val="000C3323"/>
    <w:rsid w:val="000D0D07"/>
    <w:rsid w:val="000D39E5"/>
    <w:rsid w:val="000D3F62"/>
    <w:rsid w:val="000D4797"/>
    <w:rsid w:val="000D78FD"/>
    <w:rsid w:val="000E0527"/>
    <w:rsid w:val="000E1E92"/>
    <w:rsid w:val="000F06D6"/>
    <w:rsid w:val="000F0EB1"/>
    <w:rsid w:val="000F1106"/>
    <w:rsid w:val="000F3BE9"/>
    <w:rsid w:val="000F3F6C"/>
    <w:rsid w:val="000F65A1"/>
    <w:rsid w:val="000F6DF3"/>
    <w:rsid w:val="001005FF"/>
    <w:rsid w:val="001062FB"/>
    <w:rsid w:val="001063E6"/>
    <w:rsid w:val="00106DB6"/>
    <w:rsid w:val="00113CF4"/>
    <w:rsid w:val="001153EA"/>
    <w:rsid w:val="00115643"/>
    <w:rsid w:val="00116765"/>
    <w:rsid w:val="001219F5"/>
    <w:rsid w:val="00121A20"/>
    <w:rsid w:val="00122F2E"/>
    <w:rsid w:val="0012377F"/>
    <w:rsid w:val="00124314"/>
    <w:rsid w:val="001247EB"/>
    <w:rsid w:val="00126B4A"/>
    <w:rsid w:val="00132FD0"/>
    <w:rsid w:val="001344C0"/>
    <w:rsid w:val="001346FA"/>
    <w:rsid w:val="00135252"/>
    <w:rsid w:val="00137AB5"/>
    <w:rsid w:val="00137F0B"/>
    <w:rsid w:val="00151E23"/>
    <w:rsid w:val="001526E0"/>
    <w:rsid w:val="001551B5"/>
    <w:rsid w:val="001643A8"/>
    <w:rsid w:val="001659C1"/>
    <w:rsid w:val="00166D30"/>
    <w:rsid w:val="001708D0"/>
    <w:rsid w:val="00173A8E"/>
    <w:rsid w:val="00177795"/>
    <w:rsid w:val="0018143F"/>
    <w:rsid w:val="00187DEC"/>
    <w:rsid w:val="00190AC1"/>
    <w:rsid w:val="0019341A"/>
    <w:rsid w:val="00197DF9"/>
    <w:rsid w:val="001A0736"/>
    <w:rsid w:val="001A1987"/>
    <w:rsid w:val="001A2564"/>
    <w:rsid w:val="001A6173"/>
    <w:rsid w:val="001A6939"/>
    <w:rsid w:val="001A6CBA"/>
    <w:rsid w:val="001A6D04"/>
    <w:rsid w:val="001B0D97"/>
    <w:rsid w:val="001B5A5D"/>
    <w:rsid w:val="001C1CE5"/>
    <w:rsid w:val="001C2190"/>
    <w:rsid w:val="001C3D2A"/>
    <w:rsid w:val="001C4E4C"/>
    <w:rsid w:val="001C6495"/>
    <w:rsid w:val="001D31A6"/>
    <w:rsid w:val="001D51BA"/>
    <w:rsid w:val="001D6342"/>
    <w:rsid w:val="001D6D53"/>
    <w:rsid w:val="001E58E2"/>
    <w:rsid w:val="001E7AED"/>
    <w:rsid w:val="001F3916"/>
    <w:rsid w:val="001F54C5"/>
    <w:rsid w:val="001F5C96"/>
    <w:rsid w:val="001F662C"/>
    <w:rsid w:val="001F7074"/>
    <w:rsid w:val="00200490"/>
    <w:rsid w:val="00201782"/>
    <w:rsid w:val="00201F3A"/>
    <w:rsid w:val="00203F96"/>
    <w:rsid w:val="002069B2"/>
    <w:rsid w:val="00207EA4"/>
    <w:rsid w:val="00207FA3"/>
    <w:rsid w:val="00210B6B"/>
    <w:rsid w:val="00214DA8"/>
    <w:rsid w:val="00215423"/>
    <w:rsid w:val="002158FA"/>
    <w:rsid w:val="00220600"/>
    <w:rsid w:val="002224DB"/>
    <w:rsid w:val="00223577"/>
    <w:rsid w:val="00223FCB"/>
    <w:rsid w:val="002252C3"/>
    <w:rsid w:val="00225C54"/>
    <w:rsid w:val="00230765"/>
    <w:rsid w:val="002319E4"/>
    <w:rsid w:val="00235632"/>
    <w:rsid w:val="00235872"/>
    <w:rsid w:val="00241559"/>
    <w:rsid w:val="002435B3"/>
    <w:rsid w:val="00245522"/>
    <w:rsid w:val="002458EB"/>
    <w:rsid w:val="002500C8"/>
    <w:rsid w:val="00257543"/>
    <w:rsid w:val="002617E7"/>
    <w:rsid w:val="00261FC8"/>
    <w:rsid w:val="00264228"/>
    <w:rsid w:val="00264334"/>
    <w:rsid w:val="0026473E"/>
    <w:rsid w:val="00266214"/>
    <w:rsid w:val="00267C83"/>
    <w:rsid w:val="002704B4"/>
    <w:rsid w:val="0027144F"/>
    <w:rsid w:val="002714FE"/>
    <w:rsid w:val="00271563"/>
    <w:rsid w:val="00271F3A"/>
    <w:rsid w:val="00273278"/>
    <w:rsid w:val="002737F4"/>
    <w:rsid w:val="00274D44"/>
    <w:rsid w:val="002805F5"/>
    <w:rsid w:val="00280751"/>
    <w:rsid w:val="00282384"/>
    <w:rsid w:val="0028280A"/>
    <w:rsid w:val="00286ACD"/>
    <w:rsid w:val="00287838"/>
    <w:rsid w:val="002907B5"/>
    <w:rsid w:val="00292EB7"/>
    <w:rsid w:val="00296227"/>
    <w:rsid w:val="00296F44"/>
    <w:rsid w:val="0029777D"/>
    <w:rsid w:val="002A055E"/>
    <w:rsid w:val="002A1D4E"/>
    <w:rsid w:val="002A2869"/>
    <w:rsid w:val="002A3284"/>
    <w:rsid w:val="002B24D6"/>
    <w:rsid w:val="002C41E6"/>
    <w:rsid w:val="002D071A"/>
    <w:rsid w:val="002D1476"/>
    <w:rsid w:val="002D34B2"/>
    <w:rsid w:val="002D3F9D"/>
    <w:rsid w:val="002D7637"/>
    <w:rsid w:val="002E17F2"/>
    <w:rsid w:val="002E7CAE"/>
    <w:rsid w:val="002F2771"/>
    <w:rsid w:val="002F37A9"/>
    <w:rsid w:val="00300EB6"/>
    <w:rsid w:val="00301CE6"/>
    <w:rsid w:val="0030256B"/>
    <w:rsid w:val="0030501F"/>
    <w:rsid w:val="00307BA1"/>
    <w:rsid w:val="00307E92"/>
    <w:rsid w:val="00311702"/>
    <w:rsid w:val="00311E82"/>
    <w:rsid w:val="00313FD6"/>
    <w:rsid w:val="003143BD"/>
    <w:rsid w:val="00317B01"/>
    <w:rsid w:val="003203ED"/>
    <w:rsid w:val="00322C9F"/>
    <w:rsid w:val="00323DD6"/>
    <w:rsid w:val="00324D23"/>
    <w:rsid w:val="00330C7E"/>
    <w:rsid w:val="00331751"/>
    <w:rsid w:val="00334579"/>
    <w:rsid w:val="00335858"/>
    <w:rsid w:val="00336BDA"/>
    <w:rsid w:val="00342BD7"/>
    <w:rsid w:val="00343A07"/>
    <w:rsid w:val="00346DB5"/>
    <w:rsid w:val="003474BC"/>
    <w:rsid w:val="003477B1"/>
    <w:rsid w:val="00350AC2"/>
    <w:rsid w:val="0035482C"/>
    <w:rsid w:val="00357380"/>
    <w:rsid w:val="003602D9"/>
    <w:rsid w:val="003604CE"/>
    <w:rsid w:val="00370E47"/>
    <w:rsid w:val="003742AC"/>
    <w:rsid w:val="00377CE1"/>
    <w:rsid w:val="00377F41"/>
    <w:rsid w:val="00385BF0"/>
    <w:rsid w:val="003939FF"/>
    <w:rsid w:val="0039779E"/>
    <w:rsid w:val="003A127C"/>
    <w:rsid w:val="003A12E8"/>
    <w:rsid w:val="003A2208"/>
    <w:rsid w:val="003A2223"/>
    <w:rsid w:val="003A2A0F"/>
    <w:rsid w:val="003A45A1"/>
    <w:rsid w:val="003A5B0A"/>
    <w:rsid w:val="003A6424"/>
    <w:rsid w:val="003A6BAC"/>
    <w:rsid w:val="003A7EF3"/>
    <w:rsid w:val="003B159C"/>
    <w:rsid w:val="003B369F"/>
    <w:rsid w:val="003B36A3"/>
    <w:rsid w:val="003B4820"/>
    <w:rsid w:val="003B7FE5"/>
    <w:rsid w:val="003C11C8"/>
    <w:rsid w:val="003C2702"/>
    <w:rsid w:val="003C7806"/>
    <w:rsid w:val="003D109F"/>
    <w:rsid w:val="003D2478"/>
    <w:rsid w:val="003D2FC4"/>
    <w:rsid w:val="003D3C45"/>
    <w:rsid w:val="003D5B1F"/>
    <w:rsid w:val="003E15FA"/>
    <w:rsid w:val="003E55E4"/>
    <w:rsid w:val="003E633D"/>
    <w:rsid w:val="003E74E3"/>
    <w:rsid w:val="003E75BA"/>
    <w:rsid w:val="003F05C7"/>
    <w:rsid w:val="003F2CD4"/>
    <w:rsid w:val="003F6BBE"/>
    <w:rsid w:val="003F7E6D"/>
    <w:rsid w:val="004000E8"/>
    <w:rsid w:val="00402E2B"/>
    <w:rsid w:val="0040512B"/>
    <w:rsid w:val="00405CA5"/>
    <w:rsid w:val="00407CD3"/>
    <w:rsid w:val="00410134"/>
    <w:rsid w:val="00410B72"/>
    <w:rsid w:val="00410F18"/>
    <w:rsid w:val="0041263E"/>
    <w:rsid w:val="00413AAC"/>
    <w:rsid w:val="00421105"/>
    <w:rsid w:val="004242F4"/>
    <w:rsid w:val="00426D93"/>
    <w:rsid w:val="00427248"/>
    <w:rsid w:val="00437447"/>
    <w:rsid w:val="00440B16"/>
    <w:rsid w:val="00441A92"/>
    <w:rsid w:val="00444F56"/>
    <w:rsid w:val="00445A06"/>
    <w:rsid w:val="00446488"/>
    <w:rsid w:val="00447EF3"/>
    <w:rsid w:val="004517AA"/>
    <w:rsid w:val="00451811"/>
    <w:rsid w:val="00452CAC"/>
    <w:rsid w:val="00457565"/>
    <w:rsid w:val="00457B71"/>
    <w:rsid w:val="00461D76"/>
    <w:rsid w:val="00462D9D"/>
    <w:rsid w:val="00465F3A"/>
    <w:rsid w:val="004669E2"/>
    <w:rsid w:val="0046719F"/>
    <w:rsid w:val="00470C31"/>
    <w:rsid w:val="004731F6"/>
    <w:rsid w:val="004734D0"/>
    <w:rsid w:val="0047556B"/>
    <w:rsid w:val="00477768"/>
    <w:rsid w:val="00482FC1"/>
    <w:rsid w:val="00492BC5"/>
    <w:rsid w:val="004964F1"/>
    <w:rsid w:val="004A16BC"/>
    <w:rsid w:val="004A2B94"/>
    <w:rsid w:val="004A3B2B"/>
    <w:rsid w:val="004A483C"/>
    <w:rsid w:val="004B0E03"/>
    <w:rsid w:val="004B6378"/>
    <w:rsid w:val="004B7C0C"/>
    <w:rsid w:val="004C360F"/>
    <w:rsid w:val="004C3898"/>
    <w:rsid w:val="004C6517"/>
    <w:rsid w:val="004D16D8"/>
    <w:rsid w:val="004D36B1"/>
    <w:rsid w:val="004D7EBD"/>
    <w:rsid w:val="004E2680"/>
    <w:rsid w:val="004E28F9"/>
    <w:rsid w:val="004E462E"/>
    <w:rsid w:val="004E56DC"/>
    <w:rsid w:val="004E76F4"/>
    <w:rsid w:val="004F0B4E"/>
    <w:rsid w:val="004F0B6C"/>
    <w:rsid w:val="004F2078"/>
    <w:rsid w:val="004F2D67"/>
    <w:rsid w:val="004F4DA3"/>
    <w:rsid w:val="004F5D5F"/>
    <w:rsid w:val="00502773"/>
    <w:rsid w:val="00506557"/>
    <w:rsid w:val="0050677A"/>
    <w:rsid w:val="005108D8"/>
    <w:rsid w:val="00511282"/>
    <w:rsid w:val="005116F9"/>
    <w:rsid w:val="005153A7"/>
    <w:rsid w:val="00516B28"/>
    <w:rsid w:val="00517F17"/>
    <w:rsid w:val="005219CF"/>
    <w:rsid w:val="00531534"/>
    <w:rsid w:val="00531933"/>
    <w:rsid w:val="00533837"/>
    <w:rsid w:val="005338D0"/>
    <w:rsid w:val="00534B59"/>
    <w:rsid w:val="00536759"/>
    <w:rsid w:val="00537C62"/>
    <w:rsid w:val="00543655"/>
    <w:rsid w:val="00546970"/>
    <w:rsid w:val="00554E19"/>
    <w:rsid w:val="0056121F"/>
    <w:rsid w:val="00572505"/>
    <w:rsid w:val="005749CE"/>
    <w:rsid w:val="00580202"/>
    <w:rsid w:val="00582809"/>
    <w:rsid w:val="00584152"/>
    <w:rsid w:val="0058798C"/>
    <w:rsid w:val="005900FA"/>
    <w:rsid w:val="005935A4"/>
    <w:rsid w:val="005948C2"/>
    <w:rsid w:val="0059494A"/>
    <w:rsid w:val="00595DCA"/>
    <w:rsid w:val="0059779B"/>
    <w:rsid w:val="005A209A"/>
    <w:rsid w:val="005A4EAD"/>
    <w:rsid w:val="005A662D"/>
    <w:rsid w:val="005B35D7"/>
    <w:rsid w:val="005B3625"/>
    <w:rsid w:val="005B392A"/>
    <w:rsid w:val="005B3AA3"/>
    <w:rsid w:val="005B6F83"/>
    <w:rsid w:val="005C74FB"/>
    <w:rsid w:val="005D0784"/>
    <w:rsid w:val="005D1602"/>
    <w:rsid w:val="005E385F"/>
    <w:rsid w:val="005E52F5"/>
    <w:rsid w:val="005E5B81"/>
    <w:rsid w:val="005E6A45"/>
    <w:rsid w:val="005E6D4D"/>
    <w:rsid w:val="005F2CB1"/>
    <w:rsid w:val="005F3025"/>
    <w:rsid w:val="005F4D03"/>
    <w:rsid w:val="005F618C"/>
    <w:rsid w:val="005F70BD"/>
    <w:rsid w:val="0060283C"/>
    <w:rsid w:val="00604F14"/>
    <w:rsid w:val="00605F62"/>
    <w:rsid w:val="00611B83"/>
    <w:rsid w:val="00613257"/>
    <w:rsid w:val="006203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BF0"/>
    <w:rsid w:val="00650AB9"/>
    <w:rsid w:val="00653637"/>
    <w:rsid w:val="00655733"/>
    <w:rsid w:val="00655ACD"/>
    <w:rsid w:val="00656A92"/>
    <w:rsid w:val="00656DDE"/>
    <w:rsid w:val="0066011D"/>
    <w:rsid w:val="006607C0"/>
    <w:rsid w:val="006613A6"/>
    <w:rsid w:val="00661A79"/>
    <w:rsid w:val="006627A2"/>
    <w:rsid w:val="006634E6"/>
    <w:rsid w:val="006655EE"/>
    <w:rsid w:val="00667EE7"/>
    <w:rsid w:val="00670922"/>
    <w:rsid w:val="00670BE1"/>
    <w:rsid w:val="0067218F"/>
    <w:rsid w:val="006741F2"/>
    <w:rsid w:val="00674CC3"/>
    <w:rsid w:val="00675C72"/>
    <w:rsid w:val="006765CB"/>
    <w:rsid w:val="006771F9"/>
    <w:rsid w:val="006776D7"/>
    <w:rsid w:val="00681003"/>
    <w:rsid w:val="006817C9"/>
    <w:rsid w:val="00683ECE"/>
    <w:rsid w:val="006956EF"/>
    <w:rsid w:val="006958D3"/>
    <w:rsid w:val="00695FC2"/>
    <w:rsid w:val="00696949"/>
    <w:rsid w:val="00697052"/>
    <w:rsid w:val="006A1F18"/>
    <w:rsid w:val="006A358F"/>
    <w:rsid w:val="006A46FB"/>
    <w:rsid w:val="006A5E28"/>
    <w:rsid w:val="006A697B"/>
    <w:rsid w:val="006A7AFF"/>
    <w:rsid w:val="006B1816"/>
    <w:rsid w:val="006B2099"/>
    <w:rsid w:val="006B50CF"/>
    <w:rsid w:val="006C03B8"/>
    <w:rsid w:val="006C5953"/>
    <w:rsid w:val="006C5EC9"/>
    <w:rsid w:val="006C6059"/>
    <w:rsid w:val="006C7522"/>
    <w:rsid w:val="006D6F08"/>
    <w:rsid w:val="006E062C"/>
    <w:rsid w:val="006E28B7"/>
    <w:rsid w:val="006E3310"/>
    <w:rsid w:val="006E3998"/>
    <w:rsid w:val="006E4E39"/>
    <w:rsid w:val="006E565E"/>
    <w:rsid w:val="006E673D"/>
    <w:rsid w:val="006E7C1F"/>
    <w:rsid w:val="006E7D3B"/>
    <w:rsid w:val="006F1B70"/>
    <w:rsid w:val="006F341D"/>
    <w:rsid w:val="006F3CDE"/>
    <w:rsid w:val="006F58D4"/>
    <w:rsid w:val="0070346E"/>
    <w:rsid w:val="00704EDB"/>
    <w:rsid w:val="0070537F"/>
    <w:rsid w:val="00706101"/>
    <w:rsid w:val="0070702B"/>
    <w:rsid w:val="00707072"/>
    <w:rsid w:val="00707D61"/>
    <w:rsid w:val="0071166B"/>
    <w:rsid w:val="00712287"/>
    <w:rsid w:val="00712772"/>
    <w:rsid w:val="00714604"/>
    <w:rsid w:val="007146AF"/>
    <w:rsid w:val="007148D3"/>
    <w:rsid w:val="0071506D"/>
    <w:rsid w:val="00715B9A"/>
    <w:rsid w:val="00716538"/>
    <w:rsid w:val="00721593"/>
    <w:rsid w:val="00723A79"/>
    <w:rsid w:val="00726EA6"/>
    <w:rsid w:val="00727208"/>
    <w:rsid w:val="00727680"/>
    <w:rsid w:val="007336CA"/>
    <w:rsid w:val="007348B1"/>
    <w:rsid w:val="00734B23"/>
    <w:rsid w:val="007362A6"/>
    <w:rsid w:val="00736D7D"/>
    <w:rsid w:val="00740E58"/>
    <w:rsid w:val="0074405B"/>
    <w:rsid w:val="007445A0"/>
    <w:rsid w:val="0074524B"/>
    <w:rsid w:val="00747D8B"/>
    <w:rsid w:val="00751228"/>
    <w:rsid w:val="0075477B"/>
    <w:rsid w:val="007571E1"/>
    <w:rsid w:val="007604B2"/>
    <w:rsid w:val="00765281"/>
    <w:rsid w:val="00766BAD"/>
    <w:rsid w:val="007730BD"/>
    <w:rsid w:val="007740A4"/>
    <w:rsid w:val="007755F2"/>
    <w:rsid w:val="00776971"/>
    <w:rsid w:val="00780C6D"/>
    <w:rsid w:val="0078177E"/>
    <w:rsid w:val="0078304C"/>
    <w:rsid w:val="00783673"/>
    <w:rsid w:val="00785490"/>
    <w:rsid w:val="007925EA"/>
    <w:rsid w:val="00793CD8"/>
    <w:rsid w:val="00795C92"/>
    <w:rsid w:val="00796231"/>
    <w:rsid w:val="007A1CB3"/>
    <w:rsid w:val="007A306F"/>
    <w:rsid w:val="007A43A6"/>
    <w:rsid w:val="007A4975"/>
    <w:rsid w:val="007A58A6"/>
    <w:rsid w:val="007B3D2D"/>
    <w:rsid w:val="007B50AE"/>
    <w:rsid w:val="007B51DF"/>
    <w:rsid w:val="007C02E2"/>
    <w:rsid w:val="007C0517"/>
    <w:rsid w:val="007C05DD"/>
    <w:rsid w:val="007C272A"/>
    <w:rsid w:val="007C3D18"/>
    <w:rsid w:val="007C60BF"/>
    <w:rsid w:val="007C6A07"/>
    <w:rsid w:val="007C75A1"/>
    <w:rsid w:val="007C77A5"/>
    <w:rsid w:val="007C7874"/>
    <w:rsid w:val="007D04E5"/>
    <w:rsid w:val="007D12E3"/>
    <w:rsid w:val="007D1C00"/>
    <w:rsid w:val="007D5901"/>
    <w:rsid w:val="007D7526"/>
    <w:rsid w:val="007D776C"/>
    <w:rsid w:val="007E24AB"/>
    <w:rsid w:val="007E4610"/>
    <w:rsid w:val="007E4715"/>
    <w:rsid w:val="007E505B"/>
    <w:rsid w:val="007E7091"/>
    <w:rsid w:val="00802E21"/>
    <w:rsid w:val="00803FAE"/>
    <w:rsid w:val="0080605F"/>
    <w:rsid w:val="00807786"/>
    <w:rsid w:val="00811FCB"/>
    <w:rsid w:val="00813F7B"/>
    <w:rsid w:val="00814DBA"/>
    <w:rsid w:val="008158D6"/>
    <w:rsid w:val="00815A32"/>
    <w:rsid w:val="00817196"/>
    <w:rsid w:val="00817EDE"/>
    <w:rsid w:val="00822440"/>
    <w:rsid w:val="008235DB"/>
    <w:rsid w:val="00824AB4"/>
    <w:rsid w:val="00825B16"/>
    <w:rsid w:val="00825C42"/>
    <w:rsid w:val="00825D25"/>
    <w:rsid w:val="00827D6F"/>
    <w:rsid w:val="0083061C"/>
    <w:rsid w:val="008376AC"/>
    <w:rsid w:val="008444E8"/>
    <w:rsid w:val="00844E80"/>
    <w:rsid w:val="00846868"/>
    <w:rsid w:val="00846FE7"/>
    <w:rsid w:val="00850CEC"/>
    <w:rsid w:val="00856911"/>
    <w:rsid w:val="00861FC6"/>
    <w:rsid w:val="008677FD"/>
    <w:rsid w:val="008706D4"/>
    <w:rsid w:val="00870F8A"/>
    <w:rsid w:val="008719A4"/>
    <w:rsid w:val="00871D23"/>
    <w:rsid w:val="00874312"/>
    <w:rsid w:val="0087437C"/>
    <w:rsid w:val="00875CD7"/>
    <w:rsid w:val="00876B4D"/>
    <w:rsid w:val="00877F18"/>
    <w:rsid w:val="00882661"/>
    <w:rsid w:val="008834AA"/>
    <w:rsid w:val="00890638"/>
    <w:rsid w:val="0089127E"/>
    <w:rsid w:val="0089245B"/>
    <w:rsid w:val="00894A88"/>
    <w:rsid w:val="00894C2A"/>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088"/>
    <w:rsid w:val="008C2017"/>
    <w:rsid w:val="008C4958"/>
    <w:rsid w:val="008C4BAA"/>
    <w:rsid w:val="008C6AE8"/>
    <w:rsid w:val="008C7573"/>
    <w:rsid w:val="008D34F1"/>
    <w:rsid w:val="008D39D8"/>
    <w:rsid w:val="008D6D1A"/>
    <w:rsid w:val="008E065E"/>
    <w:rsid w:val="008E0927"/>
    <w:rsid w:val="008E1909"/>
    <w:rsid w:val="008E1DE5"/>
    <w:rsid w:val="008F1EAB"/>
    <w:rsid w:val="008F33DC"/>
    <w:rsid w:val="008F477F"/>
    <w:rsid w:val="008F7C20"/>
    <w:rsid w:val="00902350"/>
    <w:rsid w:val="00902447"/>
    <w:rsid w:val="0090336B"/>
    <w:rsid w:val="009053AA"/>
    <w:rsid w:val="00906939"/>
    <w:rsid w:val="00910B7D"/>
    <w:rsid w:val="00911DFB"/>
    <w:rsid w:val="009139D9"/>
    <w:rsid w:val="00914AD8"/>
    <w:rsid w:val="00916079"/>
    <w:rsid w:val="00917CE9"/>
    <w:rsid w:val="00920BF2"/>
    <w:rsid w:val="00922010"/>
    <w:rsid w:val="00931BD9"/>
    <w:rsid w:val="00934F45"/>
    <w:rsid w:val="009368F3"/>
    <w:rsid w:val="00941636"/>
    <w:rsid w:val="00943742"/>
    <w:rsid w:val="00945C05"/>
    <w:rsid w:val="00946945"/>
    <w:rsid w:val="00947713"/>
    <w:rsid w:val="00950DE7"/>
    <w:rsid w:val="00953920"/>
    <w:rsid w:val="00953D47"/>
    <w:rsid w:val="0095681E"/>
    <w:rsid w:val="009572D4"/>
    <w:rsid w:val="009579D2"/>
    <w:rsid w:val="00961921"/>
    <w:rsid w:val="0096430A"/>
    <w:rsid w:val="0096554B"/>
    <w:rsid w:val="0096584A"/>
    <w:rsid w:val="00971ABE"/>
    <w:rsid w:val="00971F08"/>
    <w:rsid w:val="0097288E"/>
    <w:rsid w:val="0097603D"/>
    <w:rsid w:val="00976949"/>
    <w:rsid w:val="00980477"/>
    <w:rsid w:val="009808EE"/>
    <w:rsid w:val="00981789"/>
    <w:rsid w:val="00985253"/>
    <w:rsid w:val="009853B3"/>
    <w:rsid w:val="00990630"/>
    <w:rsid w:val="00991761"/>
    <w:rsid w:val="00994DCA"/>
    <w:rsid w:val="009960EC"/>
    <w:rsid w:val="009970DD"/>
    <w:rsid w:val="0099760E"/>
    <w:rsid w:val="009A0FBA"/>
    <w:rsid w:val="009A1601"/>
    <w:rsid w:val="009A462D"/>
    <w:rsid w:val="009A5CBA"/>
    <w:rsid w:val="009A71C7"/>
    <w:rsid w:val="009B1F30"/>
    <w:rsid w:val="009B3AC2"/>
    <w:rsid w:val="009B4DF4"/>
    <w:rsid w:val="009B564E"/>
    <w:rsid w:val="009B686F"/>
    <w:rsid w:val="009B7E87"/>
    <w:rsid w:val="009C403E"/>
    <w:rsid w:val="009C56AB"/>
    <w:rsid w:val="009D4FF0"/>
    <w:rsid w:val="009D703C"/>
    <w:rsid w:val="009D718F"/>
    <w:rsid w:val="009E068F"/>
    <w:rsid w:val="009E14E0"/>
    <w:rsid w:val="009E2B7A"/>
    <w:rsid w:val="009E35DB"/>
    <w:rsid w:val="009E47A3"/>
    <w:rsid w:val="009F08F3"/>
    <w:rsid w:val="009F1ECE"/>
    <w:rsid w:val="009F344F"/>
    <w:rsid w:val="009F36BB"/>
    <w:rsid w:val="009F4C36"/>
    <w:rsid w:val="00A048A8"/>
    <w:rsid w:val="00A04F49"/>
    <w:rsid w:val="00A07855"/>
    <w:rsid w:val="00A12664"/>
    <w:rsid w:val="00A13E54"/>
    <w:rsid w:val="00A17F63"/>
    <w:rsid w:val="00A2193B"/>
    <w:rsid w:val="00A2351A"/>
    <w:rsid w:val="00A264A9"/>
    <w:rsid w:val="00A27785"/>
    <w:rsid w:val="00A30187"/>
    <w:rsid w:val="00A3448A"/>
    <w:rsid w:val="00A36297"/>
    <w:rsid w:val="00A41E2B"/>
    <w:rsid w:val="00A45B74"/>
    <w:rsid w:val="00A52E1D"/>
    <w:rsid w:val="00A570CD"/>
    <w:rsid w:val="00A61499"/>
    <w:rsid w:val="00A62A77"/>
    <w:rsid w:val="00A63483"/>
    <w:rsid w:val="00A657D7"/>
    <w:rsid w:val="00A65BC1"/>
    <w:rsid w:val="00A660AC"/>
    <w:rsid w:val="00A67E6C"/>
    <w:rsid w:val="00A71B99"/>
    <w:rsid w:val="00A739D0"/>
    <w:rsid w:val="00A761D4"/>
    <w:rsid w:val="00A77EC4"/>
    <w:rsid w:val="00A81434"/>
    <w:rsid w:val="00A81E1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0A3"/>
    <w:rsid w:val="00B05084"/>
    <w:rsid w:val="00B11266"/>
    <w:rsid w:val="00B157F9"/>
    <w:rsid w:val="00B167F1"/>
    <w:rsid w:val="00B16C87"/>
    <w:rsid w:val="00B20256"/>
    <w:rsid w:val="00B20D09"/>
    <w:rsid w:val="00B2763F"/>
    <w:rsid w:val="00B27AAC"/>
    <w:rsid w:val="00B30929"/>
    <w:rsid w:val="00B371BD"/>
    <w:rsid w:val="00B372AA"/>
    <w:rsid w:val="00B40445"/>
    <w:rsid w:val="00B41888"/>
    <w:rsid w:val="00B42BDB"/>
    <w:rsid w:val="00B45A52"/>
    <w:rsid w:val="00B46175"/>
    <w:rsid w:val="00B62AAA"/>
    <w:rsid w:val="00B664C7"/>
    <w:rsid w:val="00B739F6"/>
    <w:rsid w:val="00B81A6C"/>
    <w:rsid w:val="00B85DE5"/>
    <w:rsid w:val="00B900BB"/>
    <w:rsid w:val="00B90F73"/>
    <w:rsid w:val="00B926FC"/>
    <w:rsid w:val="00B93B59"/>
    <w:rsid w:val="00B9406A"/>
    <w:rsid w:val="00B95D37"/>
    <w:rsid w:val="00BA2280"/>
    <w:rsid w:val="00BA2A08"/>
    <w:rsid w:val="00BA3FB3"/>
    <w:rsid w:val="00BA56D2"/>
    <w:rsid w:val="00BA76E0"/>
    <w:rsid w:val="00BB068E"/>
    <w:rsid w:val="00BB2A25"/>
    <w:rsid w:val="00BB35B2"/>
    <w:rsid w:val="00BB51E9"/>
    <w:rsid w:val="00BB529F"/>
    <w:rsid w:val="00BC0FDC"/>
    <w:rsid w:val="00BC3053"/>
    <w:rsid w:val="00BC4D2E"/>
    <w:rsid w:val="00BD0BE7"/>
    <w:rsid w:val="00BD48AC"/>
    <w:rsid w:val="00BD5F1A"/>
    <w:rsid w:val="00BD7372"/>
    <w:rsid w:val="00BE1234"/>
    <w:rsid w:val="00BE2FA6"/>
    <w:rsid w:val="00BE333F"/>
    <w:rsid w:val="00BE4686"/>
    <w:rsid w:val="00BE7406"/>
    <w:rsid w:val="00BE7603"/>
    <w:rsid w:val="00BF3279"/>
    <w:rsid w:val="00BF7369"/>
    <w:rsid w:val="00BF74C7"/>
    <w:rsid w:val="00C015F1"/>
    <w:rsid w:val="00C01F33"/>
    <w:rsid w:val="00C02CC6"/>
    <w:rsid w:val="00C02D63"/>
    <w:rsid w:val="00C040F7"/>
    <w:rsid w:val="00C041B0"/>
    <w:rsid w:val="00C044AB"/>
    <w:rsid w:val="00C04A53"/>
    <w:rsid w:val="00C05706"/>
    <w:rsid w:val="00C070AD"/>
    <w:rsid w:val="00C07377"/>
    <w:rsid w:val="00C10478"/>
    <w:rsid w:val="00C12107"/>
    <w:rsid w:val="00C14D4B"/>
    <w:rsid w:val="00C154BB"/>
    <w:rsid w:val="00C26FAA"/>
    <w:rsid w:val="00C279B5"/>
    <w:rsid w:val="00C27C45"/>
    <w:rsid w:val="00C3719D"/>
    <w:rsid w:val="00C37FF9"/>
    <w:rsid w:val="00C54995"/>
    <w:rsid w:val="00C54D41"/>
    <w:rsid w:val="00C60783"/>
    <w:rsid w:val="00C62C66"/>
    <w:rsid w:val="00C64672"/>
    <w:rsid w:val="00C70697"/>
    <w:rsid w:val="00C72EF4"/>
    <w:rsid w:val="00C75D2F"/>
    <w:rsid w:val="00C767BE"/>
    <w:rsid w:val="00C76963"/>
    <w:rsid w:val="00C76E3C"/>
    <w:rsid w:val="00C80E56"/>
    <w:rsid w:val="00C81568"/>
    <w:rsid w:val="00C83D20"/>
    <w:rsid w:val="00C9027A"/>
    <w:rsid w:val="00C9068E"/>
    <w:rsid w:val="00C90776"/>
    <w:rsid w:val="00C93C4B"/>
    <w:rsid w:val="00C93DD5"/>
    <w:rsid w:val="00C944AB"/>
    <w:rsid w:val="00C95B40"/>
    <w:rsid w:val="00CA1ED8"/>
    <w:rsid w:val="00CB1F63"/>
    <w:rsid w:val="00CB5FD6"/>
    <w:rsid w:val="00CB7170"/>
    <w:rsid w:val="00CC040E"/>
    <w:rsid w:val="00CC111F"/>
    <w:rsid w:val="00CC2011"/>
    <w:rsid w:val="00CC3EA0"/>
    <w:rsid w:val="00CC7B45"/>
    <w:rsid w:val="00CD1188"/>
    <w:rsid w:val="00CD2ED1"/>
    <w:rsid w:val="00CD337B"/>
    <w:rsid w:val="00CE0424"/>
    <w:rsid w:val="00CE7561"/>
    <w:rsid w:val="00CF1354"/>
    <w:rsid w:val="00CF2AA1"/>
    <w:rsid w:val="00CF3B1F"/>
    <w:rsid w:val="00CF3BF6"/>
    <w:rsid w:val="00CF625B"/>
    <w:rsid w:val="00CF687E"/>
    <w:rsid w:val="00CF7F1E"/>
    <w:rsid w:val="00D01987"/>
    <w:rsid w:val="00D023B5"/>
    <w:rsid w:val="00D0349B"/>
    <w:rsid w:val="00D04434"/>
    <w:rsid w:val="00D10249"/>
    <w:rsid w:val="00D115C3"/>
    <w:rsid w:val="00D11897"/>
    <w:rsid w:val="00D11C2F"/>
    <w:rsid w:val="00D13135"/>
    <w:rsid w:val="00D13E4E"/>
    <w:rsid w:val="00D239A7"/>
    <w:rsid w:val="00D23F47"/>
    <w:rsid w:val="00D3005B"/>
    <w:rsid w:val="00D30CE4"/>
    <w:rsid w:val="00D35807"/>
    <w:rsid w:val="00D36E71"/>
    <w:rsid w:val="00D37D87"/>
    <w:rsid w:val="00D40B33"/>
    <w:rsid w:val="00D4318F"/>
    <w:rsid w:val="00D438BF"/>
    <w:rsid w:val="00D440F8"/>
    <w:rsid w:val="00D5408A"/>
    <w:rsid w:val="00D546FF"/>
    <w:rsid w:val="00D55AD5"/>
    <w:rsid w:val="00D576CA"/>
    <w:rsid w:val="00D57EEA"/>
    <w:rsid w:val="00D60E13"/>
    <w:rsid w:val="00D61AF5"/>
    <w:rsid w:val="00D62CD5"/>
    <w:rsid w:val="00D63D13"/>
    <w:rsid w:val="00D6435F"/>
    <w:rsid w:val="00D652B5"/>
    <w:rsid w:val="00D66155"/>
    <w:rsid w:val="00D66DB7"/>
    <w:rsid w:val="00D708B0"/>
    <w:rsid w:val="00D70E73"/>
    <w:rsid w:val="00D7703E"/>
    <w:rsid w:val="00D77B1D"/>
    <w:rsid w:val="00D8021F"/>
    <w:rsid w:val="00D80383"/>
    <w:rsid w:val="00D823C6"/>
    <w:rsid w:val="00D82585"/>
    <w:rsid w:val="00D86CA3"/>
    <w:rsid w:val="00D871CE"/>
    <w:rsid w:val="00D9196D"/>
    <w:rsid w:val="00D92982"/>
    <w:rsid w:val="00D95744"/>
    <w:rsid w:val="00D95827"/>
    <w:rsid w:val="00DA305E"/>
    <w:rsid w:val="00DA44DB"/>
    <w:rsid w:val="00DA5007"/>
    <w:rsid w:val="00DA5417"/>
    <w:rsid w:val="00DA56E8"/>
    <w:rsid w:val="00DA7A24"/>
    <w:rsid w:val="00DB0A9F"/>
    <w:rsid w:val="00DB377D"/>
    <w:rsid w:val="00DC2D36"/>
    <w:rsid w:val="00DC53EF"/>
    <w:rsid w:val="00DC6648"/>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3498"/>
    <w:rsid w:val="00E446F1"/>
    <w:rsid w:val="00E458E8"/>
    <w:rsid w:val="00E46282"/>
    <w:rsid w:val="00E46886"/>
    <w:rsid w:val="00E47AEF"/>
    <w:rsid w:val="00E53B75"/>
    <w:rsid w:val="00E54E3B"/>
    <w:rsid w:val="00E57565"/>
    <w:rsid w:val="00E60DD1"/>
    <w:rsid w:val="00E615F0"/>
    <w:rsid w:val="00E63838"/>
    <w:rsid w:val="00E64434"/>
    <w:rsid w:val="00E67C51"/>
    <w:rsid w:val="00E72EFC"/>
    <w:rsid w:val="00E7302D"/>
    <w:rsid w:val="00E758EC"/>
    <w:rsid w:val="00E77DE7"/>
    <w:rsid w:val="00E8234C"/>
    <w:rsid w:val="00E83327"/>
    <w:rsid w:val="00E83365"/>
    <w:rsid w:val="00E83AA9"/>
    <w:rsid w:val="00E85928"/>
    <w:rsid w:val="00E87822"/>
    <w:rsid w:val="00E90395"/>
    <w:rsid w:val="00E90E49"/>
    <w:rsid w:val="00E9171D"/>
    <w:rsid w:val="00E917F9"/>
    <w:rsid w:val="00E9291C"/>
    <w:rsid w:val="00E93FFE"/>
    <w:rsid w:val="00E94F8A"/>
    <w:rsid w:val="00EA7A41"/>
    <w:rsid w:val="00EB077B"/>
    <w:rsid w:val="00EB2877"/>
    <w:rsid w:val="00EB4EA2"/>
    <w:rsid w:val="00EC27C6"/>
    <w:rsid w:val="00EC4207"/>
    <w:rsid w:val="00EC5653"/>
    <w:rsid w:val="00EC593B"/>
    <w:rsid w:val="00EC60B5"/>
    <w:rsid w:val="00EC71CE"/>
    <w:rsid w:val="00ED1006"/>
    <w:rsid w:val="00ED5AFA"/>
    <w:rsid w:val="00EF18FE"/>
    <w:rsid w:val="00EF5787"/>
    <w:rsid w:val="00EF60D0"/>
    <w:rsid w:val="00F032C2"/>
    <w:rsid w:val="00F0528D"/>
    <w:rsid w:val="00F06C67"/>
    <w:rsid w:val="00F06DFD"/>
    <w:rsid w:val="00F071D1"/>
    <w:rsid w:val="00F07533"/>
    <w:rsid w:val="00F10629"/>
    <w:rsid w:val="00F11433"/>
    <w:rsid w:val="00F154A7"/>
    <w:rsid w:val="00F15FA5"/>
    <w:rsid w:val="00F209B7"/>
    <w:rsid w:val="00F2376F"/>
    <w:rsid w:val="00F243D8"/>
    <w:rsid w:val="00F30828"/>
    <w:rsid w:val="00F313D6"/>
    <w:rsid w:val="00F35D96"/>
    <w:rsid w:val="00F40F0C"/>
    <w:rsid w:val="00F411CE"/>
    <w:rsid w:val="00F4766C"/>
    <w:rsid w:val="00F50128"/>
    <w:rsid w:val="00F507D1"/>
    <w:rsid w:val="00F519CE"/>
    <w:rsid w:val="00F51ADA"/>
    <w:rsid w:val="00F607C5"/>
    <w:rsid w:val="00F60DEA"/>
    <w:rsid w:val="00F62783"/>
    <w:rsid w:val="00F6302A"/>
    <w:rsid w:val="00F64C2B"/>
    <w:rsid w:val="00F651BE"/>
    <w:rsid w:val="00F67F53"/>
    <w:rsid w:val="00F703BE"/>
    <w:rsid w:val="00F71F69"/>
    <w:rsid w:val="00F72052"/>
    <w:rsid w:val="00F72B72"/>
    <w:rsid w:val="00F74557"/>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96A"/>
    <w:rsid w:val="00FA2BB3"/>
    <w:rsid w:val="00FA62C3"/>
    <w:rsid w:val="00FA7522"/>
    <w:rsid w:val="00FB4C80"/>
    <w:rsid w:val="00FB6A6A"/>
    <w:rsid w:val="00FC4AD0"/>
    <w:rsid w:val="00FC7429"/>
    <w:rsid w:val="00FD07F6"/>
    <w:rsid w:val="00FD1EC8"/>
    <w:rsid w:val="00FD3FB3"/>
    <w:rsid w:val="00FD47ED"/>
    <w:rsid w:val="00FD74DB"/>
    <w:rsid w:val="00FD7660"/>
    <w:rsid w:val="00FE0655"/>
    <w:rsid w:val="00FE189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95673"/>
  <w15:docId w15:val="{984ADCBD-0A9F-4158-854D-9D238BE0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A073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A073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A073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0736"/>
    <w:pPr>
      <w:numPr>
        <w:ilvl w:val="2"/>
      </w:numPr>
      <w:spacing w:before="120"/>
      <w:outlineLvl w:val="2"/>
    </w:pPr>
    <w:rPr>
      <w:sz w:val="28"/>
      <w:szCs w:val="28"/>
    </w:rPr>
  </w:style>
  <w:style w:type="paragraph" w:styleId="Heading4">
    <w:name w:val="heading 4"/>
    <w:basedOn w:val="Heading3"/>
    <w:next w:val="Normal"/>
    <w:qFormat/>
    <w:rsid w:val="001A0736"/>
    <w:pPr>
      <w:numPr>
        <w:ilvl w:val="3"/>
      </w:numPr>
      <w:outlineLvl w:val="3"/>
    </w:pPr>
    <w:rPr>
      <w:sz w:val="24"/>
      <w:szCs w:val="24"/>
    </w:rPr>
  </w:style>
  <w:style w:type="paragraph" w:styleId="Heading5">
    <w:name w:val="heading 5"/>
    <w:basedOn w:val="Heading4"/>
    <w:next w:val="Normal"/>
    <w:qFormat/>
    <w:rsid w:val="001A0736"/>
    <w:pPr>
      <w:numPr>
        <w:ilvl w:val="4"/>
      </w:numPr>
      <w:outlineLvl w:val="4"/>
    </w:pPr>
    <w:rPr>
      <w:sz w:val="22"/>
      <w:szCs w:val="22"/>
    </w:rPr>
  </w:style>
  <w:style w:type="paragraph" w:styleId="Heading6">
    <w:name w:val="heading 6"/>
    <w:basedOn w:val="Normal"/>
    <w:next w:val="Normal"/>
    <w:qFormat/>
    <w:rsid w:val="001A0736"/>
    <w:pPr>
      <w:keepNext/>
      <w:keepLines/>
      <w:numPr>
        <w:ilvl w:val="5"/>
        <w:numId w:val="1"/>
      </w:numPr>
      <w:spacing w:before="120"/>
      <w:outlineLvl w:val="5"/>
    </w:pPr>
    <w:rPr>
      <w:rFonts w:cs="Arial"/>
    </w:rPr>
  </w:style>
  <w:style w:type="paragraph" w:styleId="Heading7">
    <w:name w:val="heading 7"/>
    <w:basedOn w:val="Normal"/>
    <w:next w:val="Normal"/>
    <w:qFormat/>
    <w:rsid w:val="001A0736"/>
    <w:pPr>
      <w:keepNext/>
      <w:keepLines/>
      <w:numPr>
        <w:ilvl w:val="6"/>
        <w:numId w:val="1"/>
      </w:numPr>
      <w:spacing w:before="120"/>
      <w:outlineLvl w:val="6"/>
    </w:pPr>
    <w:rPr>
      <w:rFonts w:cs="Arial"/>
    </w:rPr>
  </w:style>
  <w:style w:type="paragraph" w:styleId="Heading8">
    <w:name w:val="heading 8"/>
    <w:basedOn w:val="Heading7"/>
    <w:next w:val="Normal"/>
    <w:qFormat/>
    <w:rsid w:val="001A0736"/>
    <w:pPr>
      <w:numPr>
        <w:ilvl w:val="7"/>
      </w:numPr>
      <w:outlineLvl w:val="7"/>
    </w:pPr>
  </w:style>
  <w:style w:type="paragraph" w:styleId="Heading9">
    <w:name w:val="heading 9"/>
    <w:basedOn w:val="Heading8"/>
    <w:next w:val="Normal"/>
    <w:qFormat/>
    <w:rsid w:val="001A0736"/>
    <w:pPr>
      <w:numPr>
        <w:ilvl w:val="8"/>
      </w:numPr>
      <w:outlineLvl w:val="8"/>
    </w:pPr>
  </w:style>
  <w:style w:type="character" w:default="1" w:styleId="DefaultParagraphFont">
    <w:name w:val="Default Paragraph Font"/>
    <w:uiPriority w:val="1"/>
    <w:semiHidden/>
    <w:unhideWhenUsed/>
    <w:rsid w:val="001A07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736"/>
  </w:style>
  <w:style w:type="paragraph" w:styleId="TOC8">
    <w:name w:val="toc 8"/>
    <w:basedOn w:val="TOC1"/>
    <w:semiHidden/>
    <w:rsid w:val="001A0736"/>
    <w:pPr>
      <w:spacing w:before="180"/>
      <w:ind w:left="2693" w:hanging="2693"/>
    </w:pPr>
    <w:rPr>
      <w:b w:val="0"/>
      <w:bCs/>
    </w:rPr>
  </w:style>
  <w:style w:type="paragraph" w:styleId="TOC1">
    <w:name w:val="toc 1"/>
    <w:aliases w:val="Observation TOC2"/>
    <w:uiPriority w:val="39"/>
    <w:rsid w:val="001A073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A0736"/>
    <w:pPr>
      <w:keepNext/>
      <w:keepLines/>
      <w:spacing w:before="180"/>
      <w:jc w:val="center"/>
    </w:pPr>
  </w:style>
  <w:style w:type="paragraph" w:styleId="Caption">
    <w:name w:val="caption"/>
    <w:basedOn w:val="Normal"/>
    <w:next w:val="Normal"/>
    <w:qFormat/>
    <w:rsid w:val="001A0736"/>
    <w:pPr>
      <w:spacing w:after="240"/>
      <w:jc w:val="center"/>
    </w:pPr>
    <w:rPr>
      <w:b/>
      <w:bCs/>
    </w:rPr>
  </w:style>
  <w:style w:type="paragraph" w:styleId="TOC5">
    <w:name w:val="toc 5"/>
    <w:aliases w:val="Observation TOC"/>
    <w:basedOn w:val="TOC4"/>
    <w:semiHidden/>
    <w:rsid w:val="001A0736"/>
    <w:pPr>
      <w:tabs>
        <w:tab w:val="right" w:pos="1701"/>
      </w:tabs>
      <w:ind w:left="1701" w:hanging="1701"/>
    </w:pPr>
  </w:style>
  <w:style w:type="paragraph" w:styleId="TOC4">
    <w:name w:val="toc 4"/>
    <w:basedOn w:val="TOC3"/>
    <w:semiHidden/>
    <w:rsid w:val="001A0736"/>
    <w:pPr>
      <w:ind w:left="1418" w:hanging="1418"/>
    </w:pPr>
  </w:style>
  <w:style w:type="paragraph" w:styleId="TOC3">
    <w:name w:val="toc 3"/>
    <w:basedOn w:val="TOC2"/>
    <w:semiHidden/>
    <w:rsid w:val="001A0736"/>
    <w:pPr>
      <w:ind w:left="1134" w:hanging="1134"/>
    </w:pPr>
  </w:style>
  <w:style w:type="paragraph" w:styleId="TOC2">
    <w:name w:val="toc 2"/>
    <w:basedOn w:val="TOC1"/>
    <w:semiHidden/>
    <w:rsid w:val="001A0736"/>
    <w:pPr>
      <w:keepNext w:val="0"/>
      <w:spacing w:before="0"/>
      <w:ind w:left="851" w:hanging="851"/>
    </w:pPr>
    <w:rPr>
      <w:szCs w:val="20"/>
    </w:rPr>
  </w:style>
  <w:style w:type="paragraph" w:styleId="Index2">
    <w:name w:val="index 2"/>
    <w:basedOn w:val="Index1"/>
    <w:semiHidden/>
    <w:rsid w:val="001A0736"/>
    <w:pPr>
      <w:ind w:left="284"/>
    </w:pPr>
  </w:style>
  <w:style w:type="paragraph" w:styleId="Index1">
    <w:name w:val="index 1"/>
    <w:basedOn w:val="Normal"/>
    <w:semiHidden/>
    <w:rsid w:val="001A0736"/>
    <w:pPr>
      <w:keepLines/>
      <w:spacing w:after="0"/>
    </w:pPr>
  </w:style>
  <w:style w:type="paragraph" w:styleId="DocumentMap">
    <w:name w:val="Document Map"/>
    <w:basedOn w:val="Normal"/>
    <w:semiHidden/>
    <w:rsid w:val="001A0736"/>
    <w:pPr>
      <w:shd w:val="clear" w:color="auto" w:fill="000080"/>
    </w:pPr>
    <w:rPr>
      <w:rFonts w:ascii="Tahoma" w:hAnsi="Tahoma" w:cs="Tahoma"/>
    </w:rPr>
  </w:style>
  <w:style w:type="paragraph" w:styleId="ListNumber2">
    <w:name w:val="List Number 2"/>
    <w:basedOn w:val="ListNumber"/>
    <w:rsid w:val="001A0736"/>
    <w:pPr>
      <w:ind w:left="851"/>
    </w:pPr>
  </w:style>
  <w:style w:type="paragraph" w:styleId="ListNumber">
    <w:name w:val="List Number"/>
    <w:basedOn w:val="List"/>
    <w:rsid w:val="001A0736"/>
  </w:style>
  <w:style w:type="paragraph" w:styleId="List">
    <w:name w:val="List"/>
    <w:basedOn w:val="Normal"/>
    <w:rsid w:val="001A0736"/>
    <w:pPr>
      <w:ind w:left="568" w:hanging="284"/>
    </w:pPr>
  </w:style>
  <w:style w:type="paragraph" w:styleId="Header">
    <w:name w:val="header"/>
    <w:rsid w:val="001A073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A0736"/>
    <w:rPr>
      <w:b/>
      <w:bCs/>
      <w:position w:val="6"/>
      <w:sz w:val="16"/>
      <w:szCs w:val="16"/>
    </w:rPr>
  </w:style>
  <w:style w:type="paragraph" w:styleId="FootnoteText">
    <w:name w:val="footnote text"/>
    <w:basedOn w:val="Normal"/>
    <w:semiHidden/>
    <w:rsid w:val="001A0736"/>
    <w:pPr>
      <w:keepLines/>
      <w:spacing w:after="0"/>
      <w:ind w:left="454" w:hanging="454"/>
    </w:pPr>
    <w:rPr>
      <w:sz w:val="16"/>
      <w:szCs w:val="16"/>
    </w:rPr>
  </w:style>
  <w:style w:type="paragraph" w:customStyle="1" w:styleId="3GPPHeader">
    <w:name w:val="3GPP_Header"/>
    <w:basedOn w:val="Normal"/>
    <w:rsid w:val="001A0736"/>
    <w:pPr>
      <w:tabs>
        <w:tab w:val="left" w:pos="1701"/>
        <w:tab w:val="right" w:pos="9639"/>
      </w:tabs>
      <w:spacing w:after="240"/>
    </w:pPr>
    <w:rPr>
      <w:b/>
      <w:sz w:val="24"/>
    </w:rPr>
  </w:style>
  <w:style w:type="paragraph" w:styleId="TOC9">
    <w:name w:val="toc 9"/>
    <w:basedOn w:val="TOC8"/>
    <w:semiHidden/>
    <w:rsid w:val="001A0736"/>
    <w:pPr>
      <w:ind w:left="1418" w:hanging="1418"/>
    </w:pPr>
  </w:style>
  <w:style w:type="paragraph" w:styleId="TOC6">
    <w:name w:val="toc 6"/>
    <w:basedOn w:val="TOC5"/>
    <w:next w:val="Normal"/>
    <w:semiHidden/>
    <w:rsid w:val="001A0736"/>
    <w:pPr>
      <w:ind w:left="1985" w:hanging="1985"/>
    </w:pPr>
  </w:style>
  <w:style w:type="paragraph" w:styleId="TOC7">
    <w:name w:val="toc 7"/>
    <w:basedOn w:val="TOC6"/>
    <w:next w:val="Normal"/>
    <w:semiHidden/>
    <w:rsid w:val="001A0736"/>
    <w:pPr>
      <w:ind w:left="2268" w:hanging="2268"/>
    </w:pPr>
  </w:style>
  <w:style w:type="paragraph" w:styleId="ListBullet2">
    <w:name w:val="List Bullet 2"/>
    <w:basedOn w:val="ListBullet"/>
    <w:rsid w:val="001A0736"/>
    <w:pPr>
      <w:numPr>
        <w:numId w:val="6"/>
      </w:numPr>
    </w:pPr>
  </w:style>
  <w:style w:type="paragraph" w:styleId="ListBullet">
    <w:name w:val="List Bullet"/>
    <w:basedOn w:val="BodyText"/>
    <w:rsid w:val="001A0736"/>
    <w:pPr>
      <w:numPr>
        <w:numId w:val="5"/>
      </w:numPr>
    </w:pPr>
  </w:style>
  <w:style w:type="paragraph" w:styleId="ListBullet3">
    <w:name w:val="List Bullet 3"/>
    <w:basedOn w:val="ListBullet2"/>
    <w:rsid w:val="001A0736"/>
    <w:pPr>
      <w:numPr>
        <w:numId w:val="7"/>
      </w:numPr>
    </w:pPr>
  </w:style>
  <w:style w:type="paragraph" w:customStyle="1" w:styleId="EQ">
    <w:name w:val="EQ"/>
    <w:basedOn w:val="Normal"/>
    <w:next w:val="Normal"/>
    <w:rsid w:val="001A0736"/>
    <w:pPr>
      <w:keepLines/>
      <w:tabs>
        <w:tab w:val="center" w:pos="4536"/>
        <w:tab w:val="right" w:pos="9072"/>
      </w:tabs>
      <w:spacing w:after="180"/>
      <w:jc w:val="left"/>
    </w:pPr>
    <w:rPr>
      <w:noProof/>
      <w:lang w:eastAsia="en-US"/>
    </w:rPr>
  </w:style>
  <w:style w:type="paragraph" w:styleId="List2">
    <w:name w:val="List 2"/>
    <w:basedOn w:val="List"/>
    <w:rsid w:val="001A0736"/>
    <w:pPr>
      <w:ind w:left="851"/>
    </w:pPr>
  </w:style>
  <w:style w:type="paragraph" w:styleId="List3">
    <w:name w:val="List 3"/>
    <w:basedOn w:val="List2"/>
    <w:rsid w:val="001A0736"/>
    <w:pPr>
      <w:ind w:left="1135"/>
    </w:pPr>
  </w:style>
  <w:style w:type="paragraph" w:styleId="List4">
    <w:name w:val="List 4"/>
    <w:basedOn w:val="List3"/>
    <w:rsid w:val="001A0736"/>
    <w:pPr>
      <w:ind w:left="1418"/>
    </w:pPr>
  </w:style>
  <w:style w:type="paragraph" w:styleId="List5">
    <w:name w:val="List 5"/>
    <w:basedOn w:val="List4"/>
    <w:rsid w:val="001A0736"/>
    <w:pPr>
      <w:ind w:left="1702"/>
    </w:pPr>
  </w:style>
  <w:style w:type="paragraph" w:customStyle="1" w:styleId="EditorsNote">
    <w:name w:val="Editor's Note"/>
    <w:basedOn w:val="Normal"/>
    <w:rsid w:val="001A0736"/>
    <w:pPr>
      <w:keepLines/>
      <w:spacing w:after="180"/>
      <w:ind w:left="1135" w:hanging="851"/>
      <w:jc w:val="left"/>
    </w:pPr>
    <w:rPr>
      <w:color w:val="FF0000"/>
      <w:lang w:eastAsia="en-US"/>
    </w:rPr>
  </w:style>
  <w:style w:type="paragraph" w:styleId="ListBullet4">
    <w:name w:val="List Bullet 4"/>
    <w:basedOn w:val="ListBullet3"/>
    <w:rsid w:val="001A0736"/>
    <w:pPr>
      <w:numPr>
        <w:numId w:val="8"/>
      </w:numPr>
    </w:pPr>
  </w:style>
  <w:style w:type="paragraph" w:styleId="ListBullet5">
    <w:name w:val="List Bullet 5"/>
    <w:basedOn w:val="ListBullet4"/>
    <w:rsid w:val="001A0736"/>
    <w:pPr>
      <w:numPr>
        <w:numId w:val="4"/>
      </w:numPr>
    </w:pPr>
  </w:style>
  <w:style w:type="paragraph" w:styleId="Footer">
    <w:name w:val="footer"/>
    <w:basedOn w:val="Header"/>
    <w:semiHidden/>
    <w:rsid w:val="001A0736"/>
    <w:pPr>
      <w:jc w:val="center"/>
    </w:pPr>
    <w:rPr>
      <w:i/>
      <w:iCs/>
    </w:rPr>
  </w:style>
  <w:style w:type="paragraph" w:customStyle="1" w:styleId="Reference">
    <w:name w:val="Reference"/>
    <w:basedOn w:val="Normal"/>
    <w:rsid w:val="001A0736"/>
    <w:pPr>
      <w:numPr>
        <w:numId w:val="2"/>
      </w:numPr>
    </w:pPr>
  </w:style>
  <w:style w:type="paragraph" w:styleId="BalloonText">
    <w:name w:val="Balloon Text"/>
    <w:basedOn w:val="Normal"/>
    <w:semiHidden/>
    <w:rsid w:val="001A0736"/>
    <w:rPr>
      <w:rFonts w:ascii="Tahoma" w:hAnsi="Tahoma" w:cs="Tahoma"/>
      <w:sz w:val="16"/>
      <w:szCs w:val="16"/>
    </w:rPr>
  </w:style>
  <w:style w:type="character" w:styleId="PageNumber">
    <w:name w:val="page number"/>
    <w:semiHidden/>
    <w:rsid w:val="001A0736"/>
  </w:style>
  <w:style w:type="paragraph" w:styleId="BodyText">
    <w:name w:val="Body Text"/>
    <w:basedOn w:val="Normal"/>
    <w:link w:val="BodyTextChar"/>
    <w:rsid w:val="001A0736"/>
  </w:style>
  <w:style w:type="character" w:styleId="Hyperlink">
    <w:name w:val="Hyperlink"/>
    <w:uiPriority w:val="99"/>
    <w:rsid w:val="001A0736"/>
    <w:rPr>
      <w:color w:val="0000FF"/>
      <w:u w:val="single"/>
      <w:lang w:val="en-GB"/>
    </w:rPr>
  </w:style>
  <w:style w:type="character" w:styleId="FollowedHyperlink">
    <w:name w:val="FollowedHyperlink"/>
    <w:semiHidden/>
    <w:rsid w:val="001A0736"/>
    <w:rPr>
      <w:color w:val="FF0000"/>
      <w:u w:val="single"/>
    </w:rPr>
  </w:style>
  <w:style w:type="character" w:styleId="CommentReference">
    <w:name w:val="annotation reference"/>
    <w:semiHidden/>
    <w:rsid w:val="001A0736"/>
    <w:rPr>
      <w:sz w:val="16"/>
      <w:szCs w:val="16"/>
    </w:rPr>
  </w:style>
  <w:style w:type="paragraph" w:styleId="CommentText">
    <w:name w:val="annotation text"/>
    <w:basedOn w:val="Normal"/>
    <w:semiHidden/>
    <w:rsid w:val="001A0736"/>
  </w:style>
  <w:style w:type="paragraph" w:styleId="CommentSubject">
    <w:name w:val="annotation subject"/>
    <w:basedOn w:val="CommentText"/>
    <w:next w:val="CommentText"/>
    <w:semiHidden/>
    <w:rsid w:val="001A0736"/>
    <w:rPr>
      <w:b/>
      <w:bCs/>
    </w:rPr>
  </w:style>
  <w:style w:type="character" w:customStyle="1" w:styleId="Heading1Char">
    <w:name w:val="Heading 1 Char"/>
    <w:link w:val="Heading1"/>
    <w:rsid w:val="001A0736"/>
    <w:rPr>
      <w:rFonts w:ascii="Arial" w:hAnsi="Arial" w:cs="Arial"/>
      <w:sz w:val="36"/>
      <w:szCs w:val="36"/>
      <w:lang w:val="en-GB"/>
    </w:rPr>
  </w:style>
  <w:style w:type="paragraph" w:customStyle="1" w:styleId="B1">
    <w:name w:val="B1"/>
    <w:basedOn w:val="List"/>
    <w:rsid w:val="001A0736"/>
    <w:pPr>
      <w:spacing w:after="180"/>
      <w:jc w:val="left"/>
    </w:pPr>
    <w:rPr>
      <w:lang w:eastAsia="en-US"/>
    </w:rPr>
  </w:style>
  <w:style w:type="paragraph" w:customStyle="1" w:styleId="B2">
    <w:name w:val="B2"/>
    <w:basedOn w:val="List2"/>
    <w:rsid w:val="001A0736"/>
    <w:pPr>
      <w:spacing w:after="180"/>
      <w:jc w:val="left"/>
    </w:pPr>
    <w:rPr>
      <w:lang w:eastAsia="en-US"/>
    </w:rPr>
  </w:style>
  <w:style w:type="paragraph" w:customStyle="1" w:styleId="B3">
    <w:name w:val="B3"/>
    <w:basedOn w:val="List3"/>
    <w:rsid w:val="001A0736"/>
    <w:pPr>
      <w:spacing w:after="180"/>
      <w:jc w:val="left"/>
    </w:pPr>
    <w:rPr>
      <w:lang w:eastAsia="en-US"/>
    </w:rPr>
  </w:style>
  <w:style w:type="paragraph" w:customStyle="1" w:styleId="B4">
    <w:name w:val="B4"/>
    <w:basedOn w:val="List4"/>
    <w:rsid w:val="001A0736"/>
    <w:pPr>
      <w:spacing w:after="180"/>
      <w:jc w:val="left"/>
    </w:pPr>
    <w:rPr>
      <w:lang w:eastAsia="en-US"/>
    </w:rPr>
  </w:style>
  <w:style w:type="paragraph" w:customStyle="1" w:styleId="Proposal">
    <w:name w:val="Proposal"/>
    <w:basedOn w:val="Normal"/>
    <w:rsid w:val="001A0736"/>
    <w:pPr>
      <w:numPr>
        <w:numId w:val="3"/>
      </w:numPr>
      <w:tabs>
        <w:tab w:val="clear" w:pos="1304"/>
        <w:tab w:val="left" w:pos="1701"/>
      </w:tabs>
      <w:ind w:left="1701" w:hanging="1701"/>
    </w:pPr>
    <w:rPr>
      <w:b/>
      <w:bCs/>
    </w:rPr>
  </w:style>
  <w:style w:type="character" w:customStyle="1" w:styleId="BodyTextChar">
    <w:name w:val="Body Text Char"/>
    <w:link w:val="BodyText"/>
    <w:rsid w:val="001A0736"/>
    <w:rPr>
      <w:rFonts w:ascii="Arial" w:hAnsi="Arial"/>
      <w:lang w:val="en-GB"/>
    </w:rPr>
  </w:style>
  <w:style w:type="paragraph" w:customStyle="1" w:styleId="B5">
    <w:name w:val="B5"/>
    <w:basedOn w:val="List5"/>
    <w:rsid w:val="001A0736"/>
    <w:pPr>
      <w:spacing w:after="180"/>
      <w:jc w:val="left"/>
    </w:pPr>
    <w:rPr>
      <w:lang w:eastAsia="en-US"/>
    </w:rPr>
  </w:style>
  <w:style w:type="paragraph" w:customStyle="1" w:styleId="EX">
    <w:name w:val="EX"/>
    <w:basedOn w:val="Normal"/>
    <w:rsid w:val="001A0736"/>
    <w:pPr>
      <w:keepLines/>
      <w:spacing w:after="180"/>
      <w:ind w:left="1702" w:hanging="1418"/>
      <w:jc w:val="left"/>
    </w:pPr>
    <w:rPr>
      <w:lang w:eastAsia="en-US"/>
    </w:rPr>
  </w:style>
  <w:style w:type="paragraph" w:customStyle="1" w:styleId="EW">
    <w:name w:val="EW"/>
    <w:basedOn w:val="EX"/>
    <w:rsid w:val="001A0736"/>
    <w:pPr>
      <w:spacing w:after="0"/>
    </w:pPr>
  </w:style>
  <w:style w:type="paragraph" w:customStyle="1" w:styleId="TAL">
    <w:name w:val="TAL"/>
    <w:basedOn w:val="Normal"/>
    <w:rsid w:val="001A0736"/>
    <w:pPr>
      <w:keepNext/>
      <w:keepLines/>
      <w:spacing w:after="0"/>
      <w:jc w:val="left"/>
    </w:pPr>
    <w:rPr>
      <w:sz w:val="18"/>
      <w:lang w:eastAsia="en-US"/>
    </w:rPr>
  </w:style>
  <w:style w:type="paragraph" w:customStyle="1" w:styleId="TAC">
    <w:name w:val="TAC"/>
    <w:basedOn w:val="TAL"/>
    <w:rsid w:val="001A0736"/>
    <w:pPr>
      <w:jc w:val="center"/>
    </w:pPr>
  </w:style>
  <w:style w:type="paragraph" w:customStyle="1" w:styleId="TAH">
    <w:name w:val="TAH"/>
    <w:basedOn w:val="TAC"/>
    <w:rsid w:val="001A0736"/>
    <w:rPr>
      <w:b/>
    </w:rPr>
  </w:style>
  <w:style w:type="paragraph" w:customStyle="1" w:styleId="TAN">
    <w:name w:val="TAN"/>
    <w:basedOn w:val="TAL"/>
    <w:rsid w:val="001A0736"/>
    <w:pPr>
      <w:ind w:left="851" w:hanging="851"/>
    </w:pPr>
  </w:style>
  <w:style w:type="paragraph" w:customStyle="1" w:styleId="TAR">
    <w:name w:val="TAR"/>
    <w:basedOn w:val="TAL"/>
    <w:rsid w:val="001A0736"/>
    <w:pPr>
      <w:jc w:val="right"/>
    </w:pPr>
  </w:style>
  <w:style w:type="paragraph" w:customStyle="1" w:styleId="TH">
    <w:name w:val="TH"/>
    <w:basedOn w:val="Normal"/>
    <w:rsid w:val="001A0736"/>
    <w:pPr>
      <w:keepNext/>
      <w:keepLines/>
      <w:spacing w:before="60" w:after="180"/>
      <w:jc w:val="center"/>
    </w:pPr>
    <w:rPr>
      <w:b/>
      <w:lang w:eastAsia="en-US"/>
    </w:rPr>
  </w:style>
  <w:style w:type="paragraph" w:customStyle="1" w:styleId="TF">
    <w:name w:val="TF"/>
    <w:basedOn w:val="TH"/>
    <w:rsid w:val="001A0736"/>
    <w:pPr>
      <w:keepNext w:val="0"/>
      <w:spacing w:before="0" w:after="240"/>
    </w:pPr>
  </w:style>
  <w:style w:type="paragraph" w:customStyle="1" w:styleId="TT">
    <w:name w:val="TT"/>
    <w:basedOn w:val="Heading1"/>
    <w:next w:val="Normal"/>
    <w:rsid w:val="001A0736"/>
    <w:pPr>
      <w:numPr>
        <w:numId w:val="0"/>
      </w:numPr>
      <w:ind w:left="1134" w:hanging="1134"/>
      <w:outlineLvl w:val="9"/>
    </w:pPr>
    <w:rPr>
      <w:rFonts w:cs="Times New Roman"/>
      <w:szCs w:val="20"/>
      <w:lang w:eastAsia="en-US"/>
    </w:rPr>
  </w:style>
  <w:style w:type="paragraph" w:customStyle="1" w:styleId="ZA">
    <w:name w:val="ZA"/>
    <w:rsid w:val="001A07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A07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A073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A07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A0736"/>
  </w:style>
  <w:style w:type="paragraph" w:customStyle="1" w:styleId="ZH">
    <w:name w:val="ZH"/>
    <w:rsid w:val="001A073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A07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A0736"/>
    <w:pPr>
      <w:framePr w:hRule="auto" w:wrap="notBeside" w:y="852"/>
    </w:pPr>
    <w:rPr>
      <w:i w:val="0"/>
      <w:sz w:val="40"/>
    </w:rPr>
  </w:style>
  <w:style w:type="paragraph" w:customStyle="1" w:styleId="ZU">
    <w:name w:val="ZU"/>
    <w:rsid w:val="001A07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A0736"/>
    <w:pPr>
      <w:framePr w:wrap="notBeside" w:y="16161"/>
    </w:pPr>
  </w:style>
  <w:style w:type="paragraph" w:customStyle="1" w:styleId="FP">
    <w:name w:val="FP"/>
    <w:basedOn w:val="Normal"/>
    <w:rsid w:val="001A0736"/>
    <w:pPr>
      <w:spacing w:after="0"/>
      <w:jc w:val="left"/>
    </w:pPr>
    <w:rPr>
      <w:lang w:eastAsia="en-US"/>
    </w:rPr>
  </w:style>
  <w:style w:type="paragraph" w:customStyle="1" w:styleId="Observation">
    <w:name w:val="Observation"/>
    <w:basedOn w:val="Proposal"/>
    <w:qFormat/>
    <w:rsid w:val="001A0736"/>
    <w:pPr>
      <w:numPr>
        <w:numId w:val="13"/>
      </w:numPr>
      <w:ind w:left="1701" w:hanging="1701"/>
    </w:pPr>
  </w:style>
  <w:style w:type="paragraph" w:styleId="TableofFigures">
    <w:name w:val="table of figures"/>
    <w:basedOn w:val="Normal"/>
    <w:next w:val="Normal"/>
    <w:uiPriority w:val="99"/>
    <w:rsid w:val="001A0736"/>
    <w:pPr>
      <w:ind w:left="1418" w:hanging="1418"/>
      <w:jc w:val="left"/>
    </w:pPr>
    <w:rPr>
      <w:b/>
    </w:rPr>
  </w:style>
  <w:style w:type="paragraph" w:customStyle="1" w:styleId="CRCoverPage">
    <w:name w:val="CR Cover Page"/>
    <w:rsid w:val="001A0736"/>
    <w:pPr>
      <w:spacing w:after="120"/>
    </w:pPr>
    <w:rPr>
      <w:rFonts w:ascii="Arial" w:hAnsi="Arial"/>
      <w:lang w:val="en-GB" w:eastAsia="en-US"/>
    </w:rPr>
  </w:style>
  <w:style w:type="paragraph" w:customStyle="1" w:styleId="Doc-text2">
    <w:name w:val="Doc-text2"/>
    <w:basedOn w:val="Normal"/>
    <w:link w:val="Doc-text2Char"/>
    <w:qFormat/>
    <w:rsid w:val="002714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14FE"/>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omments">
    <w:name w:val="Comments"/>
    <w:basedOn w:val="Normal"/>
    <w:link w:val="CommentsChar"/>
    <w:qFormat/>
    <w:rsid w:val="00815A3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815A3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71976">
      <w:bodyDiv w:val="1"/>
      <w:marLeft w:val="0"/>
      <w:marRight w:val="0"/>
      <w:marTop w:val="0"/>
      <w:marBottom w:val="0"/>
      <w:divBdr>
        <w:top w:val="none" w:sz="0" w:space="0" w:color="auto"/>
        <w:left w:val="none" w:sz="0" w:space="0" w:color="auto"/>
        <w:bottom w:val="none" w:sz="0" w:space="0" w:color="auto"/>
        <w:right w:val="none" w:sz="0" w:space="0" w:color="auto"/>
      </w:divBdr>
      <w:divsChild>
        <w:div w:id="1700547494">
          <w:marLeft w:val="274"/>
          <w:marRight w:val="0"/>
          <w:marTop w:val="115"/>
          <w:marBottom w:val="0"/>
          <w:divBdr>
            <w:top w:val="none" w:sz="0" w:space="0" w:color="auto"/>
            <w:left w:val="none" w:sz="0" w:space="0" w:color="auto"/>
            <w:bottom w:val="none" w:sz="0" w:space="0" w:color="auto"/>
            <w:right w:val="none" w:sz="0" w:space="0" w:color="auto"/>
          </w:divBdr>
        </w:div>
        <w:div w:id="289475653">
          <w:marLeft w:val="835"/>
          <w:marRight w:val="0"/>
          <w:marTop w:val="96"/>
          <w:marBottom w:val="0"/>
          <w:divBdr>
            <w:top w:val="none" w:sz="0" w:space="0" w:color="auto"/>
            <w:left w:val="none" w:sz="0" w:space="0" w:color="auto"/>
            <w:bottom w:val="none" w:sz="0" w:space="0" w:color="auto"/>
            <w:right w:val="none" w:sz="0" w:space="0" w:color="auto"/>
          </w:divBdr>
        </w:div>
        <w:div w:id="1909917925">
          <w:marLeft w:val="835"/>
          <w:marRight w:val="0"/>
          <w:marTop w:val="96"/>
          <w:marBottom w:val="0"/>
          <w:divBdr>
            <w:top w:val="none" w:sz="0" w:space="0" w:color="auto"/>
            <w:left w:val="none" w:sz="0" w:space="0" w:color="auto"/>
            <w:bottom w:val="none" w:sz="0" w:space="0" w:color="auto"/>
            <w:right w:val="none" w:sz="0" w:space="0" w:color="auto"/>
          </w:divBdr>
        </w:div>
        <w:div w:id="1987010363">
          <w:marLeft w:val="835"/>
          <w:marRight w:val="0"/>
          <w:marTop w:val="96"/>
          <w:marBottom w:val="0"/>
          <w:divBdr>
            <w:top w:val="none" w:sz="0" w:space="0" w:color="auto"/>
            <w:left w:val="none" w:sz="0" w:space="0" w:color="auto"/>
            <w:bottom w:val="none" w:sz="0" w:space="0" w:color="auto"/>
            <w:right w:val="none" w:sz="0" w:space="0" w:color="auto"/>
          </w:divBdr>
        </w:div>
        <w:div w:id="379787620">
          <w:marLeft w:val="274"/>
          <w:marRight w:val="0"/>
          <w:marTop w:val="115"/>
          <w:marBottom w:val="0"/>
          <w:divBdr>
            <w:top w:val="none" w:sz="0" w:space="0" w:color="auto"/>
            <w:left w:val="none" w:sz="0" w:space="0" w:color="auto"/>
            <w:bottom w:val="none" w:sz="0" w:space="0" w:color="auto"/>
            <w:right w:val="none" w:sz="0" w:space="0" w:color="auto"/>
          </w:divBdr>
        </w:div>
        <w:div w:id="282732846">
          <w:marLeft w:val="835"/>
          <w:marRight w:val="0"/>
          <w:marTop w:val="96"/>
          <w:marBottom w:val="0"/>
          <w:divBdr>
            <w:top w:val="none" w:sz="0" w:space="0" w:color="auto"/>
            <w:left w:val="none" w:sz="0" w:space="0" w:color="auto"/>
            <w:bottom w:val="none" w:sz="0" w:space="0" w:color="auto"/>
            <w:right w:val="none" w:sz="0" w:space="0" w:color="auto"/>
          </w:divBdr>
        </w:div>
        <w:div w:id="1961760139">
          <w:marLeft w:val="1411"/>
          <w:marRight w:val="0"/>
          <w:marTop w:val="96"/>
          <w:marBottom w:val="0"/>
          <w:divBdr>
            <w:top w:val="none" w:sz="0" w:space="0" w:color="auto"/>
            <w:left w:val="none" w:sz="0" w:space="0" w:color="auto"/>
            <w:bottom w:val="none" w:sz="0" w:space="0" w:color="auto"/>
            <w:right w:val="none" w:sz="0" w:space="0" w:color="auto"/>
          </w:divBdr>
        </w:div>
        <w:div w:id="1599479408">
          <w:marLeft w:val="1411"/>
          <w:marRight w:val="0"/>
          <w:marTop w:val="96"/>
          <w:marBottom w:val="0"/>
          <w:divBdr>
            <w:top w:val="none" w:sz="0" w:space="0" w:color="auto"/>
            <w:left w:val="none" w:sz="0" w:space="0" w:color="auto"/>
            <w:bottom w:val="none" w:sz="0" w:space="0" w:color="auto"/>
            <w:right w:val="none" w:sz="0" w:space="0" w:color="auto"/>
          </w:divBdr>
        </w:div>
        <w:div w:id="1441949356">
          <w:marLeft w:val="1411"/>
          <w:marRight w:val="0"/>
          <w:marTop w:val="96"/>
          <w:marBottom w:val="0"/>
          <w:divBdr>
            <w:top w:val="none" w:sz="0" w:space="0" w:color="auto"/>
            <w:left w:val="none" w:sz="0" w:space="0" w:color="auto"/>
            <w:bottom w:val="none" w:sz="0" w:space="0" w:color="auto"/>
            <w:right w:val="none" w:sz="0" w:space="0" w:color="auto"/>
          </w:divBdr>
        </w:div>
        <w:div w:id="363405063">
          <w:marLeft w:val="1973"/>
          <w:marRight w:val="0"/>
          <w:marTop w:val="96"/>
          <w:marBottom w:val="0"/>
          <w:divBdr>
            <w:top w:val="none" w:sz="0" w:space="0" w:color="auto"/>
            <w:left w:val="none" w:sz="0" w:space="0" w:color="auto"/>
            <w:bottom w:val="none" w:sz="0" w:space="0" w:color="auto"/>
            <w:right w:val="none" w:sz="0" w:space="0" w:color="auto"/>
          </w:divBdr>
        </w:div>
        <w:div w:id="883904302">
          <w:marLeft w:val="1411"/>
          <w:marRight w:val="0"/>
          <w:marTop w:val="96"/>
          <w:marBottom w:val="0"/>
          <w:divBdr>
            <w:top w:val="none" w:sz="0" w:space="0" w:color="auto"/>
            <w:left w:val="none" w:sz="0" w:space="0" w:color="auto"/>
            <w:bottom w:val="none" w:sz="0" w:space="0" w:color="auto"/>
            <w:right w:val="none" w:sz="0" w:space="0" w:color="auto"/>
          </w:divBdr>
        </w:div>
        <w:div w:id="855341656">
          <w:marLeft w:val="1973"/>
          <w:marRight w:val="0"/>
          <w:marTop w:val="96"/>
          <w:marBottom w:val="0"/>
          <w:divBdr>
            <w:top w:val="none" w:sz="0" w:space="0" w:color="auto"/>
            <w:left w:val="none" w:sz="0" w:space="0" w:color="auto"/>
            <w:bottom w:val="none" w:sz="0" w:space="0" w:color="auto"/>
            <w:right w:val="none" w:sz="0" w:space="0" w:color="auto"/>
          </w:divBdr>
        </w:div>
      </w:divsChild>
    </w:div>
    <w:div w:id="1363944649">
      <w:bodyDiv w:val="1"/>
      <w:marLeft w:val="0"/>
      <w:marRight w:val="0"/>
      <w:marTop w:val="0"/>
      <w:marBottom w:val="0"/>
      <w:divBdr>
        <w:top w:val="none" w:sz="0" w:space="0" w:color="auto"/>
        <w:left w:val="none" w:sz="0" w:space="0" w:color="auto"/>
        <w:bottom w:val="none" w:sz="0" w:space="0" w:color="auto"/>
        <w:right w:val="none" w:sz="0" w:space="0" w:color="auto"/>
      </w:divBdr>
      <w:divsChild>
        <w:div w:id="945230950">
          <w:marLeft w:val="274"/>
          <w:marRight w:val="0"/>
          <w:marTop w:val="115"/>
          <w:marBottom w:val="0"/>
          <w:divBdr>
            <w:top w:val="none" w:sz="0" w:space="0" w:color="auto"/>
            <w:left w:val="none" w:sz="0" w:space="0" w:color="auto"/>
            <w:bottom w:val="none" w:sz="0" w:space="0" w:color="auto"/>
            <w:right w:val="none" w:sz="0" w:space="0" w:color="auto"/>
          </w:divBdr>
        </w:div>
        <w:div w:id="1544904798">
          <w:marLeft w:val="835"/>
          <w:marRight w:val="0"/>
          <w:marTop w:val="96"/>
          <w:marBottom w:val="0"/>
          <w:divBdr>
            <w:top w:val="none" w:sz="0" w:space="0" w:color="auto"/>
            <w:left w:val="none" w:sz="0" w:space="0" w:color="auto"/>
            <w:bottom w:val="none" w:sz="0" w:space="0" w:color="auto"/>
            <w:right w:val="none" w:sz="0" w:space="0" w:color="auto"/>
          </w:divBdr>
        </w:div>
        <w:div w:id="677466147">
          <w:marLeft w:val="835"/>
          <w:marRight w:val="0"/>
          <w:marTop w:val="96"/>
          <w:marBottom w:val="0"/>
          <w:divBdr>
            <w:top w:val="none" w:sz="0" w:space="0" w:color="auto"/>
            <w:left w:val="none" w:sz="0" w:space="0" w:color="auto"/>
            <w:bottom w:val="none" w:sz="0" w:space="0" w:color="auto"/>
            <w:right w:val="none" w:sz="0" w:space="0" w:color="auto"/>
          </w:divBdr>
        </w:div>
        <w:div w:id="641085183">
          <w:marLeft w:val="835"/>
          <w:marRight w:val="0"/>
          <w:marTop w:val="96"/>
          <w:marBottom w:val="0"/>
          <w:divBdr>
            <w:top w:val="none" w:sz="0" w:space="0" w:color="auto"/>
            <w:left w:val="none" w:sz="0" w:space="0" w:color="auto"/>
            <w:bottom w:val="none" w:sz="0" w:space="0" w:color="auto"/>
            <w:right w:val="none" w:sz="0" w:space="0" w:color="auto"/>
          </w:divBdr>
        </w:div>
        <w:div w:id="622347155">
          <w:marLeft w:val="274"/>
          <w:marRight w:val="0"/>
          <w:marTop w:val="115"/>
          <w:marBottom w:val="0"/>
          <w:divBdr>
            <w:top w:val="none" w:sz="0" w:space="0" w:color="auto"/>
            <w:left w:val="none" w:sz="0" w:space="0" w:color="auto"/>
            <w:bottom w:val="none" w:sz="0" w:space="0" w:color="auto"/>
            <w:right w:val="none" w:sz="0" w:space="0" w:color="auto"/>
          </w:divBdr>
        </w:div>
        <w:div w:id="360325614">
          <w:marLeft w:val="835"/>
          <w:marRight w:val="0"/>
          <w:marTop w:val="96"/>
          <w:marBottom w:val="0"/>
          <w:divBdr>
            <w:top w:val="none" w:sz="0" w:space="0" w:color="auto"/>
            <w:left w:val="none" w:sz="0" w:space="0" w:color="auto"/>
            <w:bottom w:val="none" w:sz="0" w:space="0" w:color="auto"/>
            <w:right w:val="none" w:sz="0" w:space="0" w:color="auto"/>
          </w:divBdr>
        </w:div>
        <w:div w:id="440420122">
          <w:marLeft w:val="1411"/>
          <w:marRight w:val="0"/>
          <w:marTop w:val="96"/>
          <w:marBottom w:val="0"/>
          <w:divBdr>
            <w:top w:val="none" w:sz="0" w:space="0" w:color="auto"/>
            <w:left w:val="none" w:sz="0" w:space="0" w:color="auto"/>
            <w:bottom w:val="none" w:sz="0" w:space="0" w:color="auto"/>
            <w:right w:val="none" w:sz="0" w:space="0" w:color="auto"/>
          </w:divBdr>
        </w:div>
        <w:div w:id="1741947213">
          <w:marLeft w:val="1411"/>
          <w:marRight w:val="0"/>
          <w:marTop w:val="96"/>
          <w:marBottom w:val="0"/>
          <w:divBdr>
            <w:top w:val="none" w:sz="0" w:space="0" w:color="auto"/>
            <w:left w:val="none" w:sz="0" w:space="0" w:color="auto"/>
            <w:bottom w:val="none" w:sz="0" w:space="0" w:color="auto"/>
            <w:right w:val="none" w:sz="0" w:space="0" w:color="auto"/>
          </w:divBdr>
        </w:div>
        <w:div w:id="26370397">
          <w:marLeft w:val="1411"/>
          <w:marRight w:val="0"/>
          <w:marTop w:val="96"/>
          <w:marBottom w:val="0"/>
          <w:divBdr>
            <w:top w:val="none" w:sz="0" w:space="0" w:color="auto"/>
            <w:left w:val="none" w:sz="0" w:space="0" w:color="auto"/>
            <w:bottom w:val="none" w:sz="0" w:space="0" w:color="auto"/>
            <w:right w:val="none" w:sz="0" w:space="0" w:color="auto"/>
          </w:divBdr>
        </w:div>
        <w:div w:id="1422529836">
          <w:marLeft w:val="1973"/>
          <w:marRight w:val="0"/>
          <w:marTop w:val="96"/>
          <w:marBottom w:val="0"/>
          <w:divBdr>
            <w:top w:val="none" w:sz="0" w:space="0" w:color="auto"/>
            <w:left w:val="none" w:sz="0" w:space="0" w:color="auto"/>
            <w:bottom w:val="none" w:sz="0" w:space="0" w:color="auto"/>
            <w:right w:val="none" w:sz="0" w:space="0" w:color="auto"/>
          </w:divBdr>
        </w:div>
        <w:div w:id="382481168">
          <w:marLeft w:val="1411"/>
          <w:marRight w:val="0"/>
          <w:marTop w:val="96"/>
          <w:marBottom w:val="0"/>
          <w:divBdr>
            <w:top w:val="none" w:sz="0" w:space="0" w:color="auto"/>
            <w:left w:val="none" w:sz="0" w:space="0" w:color="auto"/>
            <w:bottom w:val="none" w:sz="0" w:space="0" w:color="auto"/>
            <w:right w:val="none" w:sz="0" w:space="0" w:color="auto"/>
          </w:divBdr>
        </w:div>
        <w:div w:id="624117917">
          <w:marLeft w:val="1973"/>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459532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5NUHHDQN7SK2-1-176606</_dlc_DocId>
    <TaxCatchAll xmlns="08b2df90-05d3-4030-90d4-c9feeb4a1cd9">
      <Value>10</Value>
      <Value>9</Value>
      <Value>8</Value>
      <Value>3</Value>
      <Value>1</Value>
    </TaxCatchAll>
    <_dlc_DocIdUrl xmlns="08b2df90-05d3-4030-90d4-c9feeb4a1cd9">
      <Url>https://ericoll.internal.ericsson.com/sites/star/_layouts/DocIdRedir.aspx?ID=5NUHHDQN7SK2-1-176606</Url>
      <Description>5NUHHDQN7SK2-1-176606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2B78D0A0-20D9-4690-8F7B-2C8DB3AB4AE3}"/>
</file>

<file path=customXml/itemProps4.xml><?xml version="1.0" encoding="utf-8"?>
<ds:datastoreItem xmlns:ds="http://schemas.openxmlformats.org/officeDocument/2006/customXml" ds:itemID="{CE2768D3-7C09-489E-872D-84045F0F0C04}"/>
</file>

<file path=customXml/itemProps5.xml><?xml version="1.0" encoding="utf-8"?>
<ds:datastoreItem xmlns:ds="http://schemas.openxmlformats.org/officeDocument/2006/customXml" ds:itemID="{460107DC-5761-40F6-8E1B-3112A03859E6}"/>
</file>

<file path=customXml/itemProps6.xml><?xml version="1.0" encoding="utf-8"?>
<ds:datastoreItem xmlns:ds="http://schemas.openxmlformats.org/officeDocument/2006/customXml" ds:itemID="{639D285A-B6C4-4861-B26A-6BC4C025126E}"/>
</file>

<file path=docProps/app.xml><?xml version="1.0" encoding="utf-8"?>
<Properties xmlns="http://schemas.openxmlformats.org/officeDocument/2006/extended-properties" xmlns:vt="http://schemas.openxmlformats.org/officeDocument/2006/docPropsVTypes">
  <Template>R2-17xxxx%20-%20Contribution%20Template</Template>
  <TotalTime>14</TotalTime>
  <Pages>5</Pages>
  <Words>1376</Words>
  <Characters>11150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145</cp:revision>
  <cp:lastPrinted>2017-06-06T10:57:00Z</cp:lastPrinted>
  <dcterms:created xsi:type="dcterms:W3CDTF">2017-01-25T08:24:00Z</dcterms:created>
  <dcterms:modified xsi:type="dcterms:W3CDTF">2017-06-16T21:05:00Z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dfcc19a6-d263-4a80-abad-02ddbbb2c4d5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